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4e590a36f4423"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medication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ed2213c2748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is currently taking cardiovascular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e514df3b9849f4">
              <w:r>
                <w:rPr>
                  <w:rStyle w:val="Hyperlink"/>
                </w:rPr>
                <w:t xml:space="preserve">Person—cardiovascular medication taken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7bc1cec4444a13">
              <w:r>
                <w:rPr>
                  <w:rStyle w:val="Hyperlink"/>
                </w:rPr>
                <w:t xml:space="preserve">Cardiovascular medication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of the following medications for a cardiovascular condition. Therefore more than one code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 Australian Medicines Handbook: last modified by February 2001 Contents of Cardiovascular, Version 3, 1999 Therapeutic Guidelines Limited (05.04.2002)].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f43a5e70d8044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43a5e70d8044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ba6ad3bc1442b4"/>
                            <a:srcRect/>
                            <a:stretch>
                              <a:fillRect/>
                            </a:stretch>
                          </pic:blipFill>
                          <pic:spPr bwMode="auto">
                            <a:xfrm>
                              <a:off x="0" y="0"/>
                              <a:ext cx="152400" cy="152400"/>
                            </a:xfrm>
                            <a:prstGeom prst="rect">
                              <a:avLst/>
                            </a:prstGeom>
                          </pic:spPr>
                        </pic:pic>
                      </a:graphicData>
                    </a:graphic>
                  </wp:inline>
                </w:drawing>
              </w:r>
              <w:r>
                <w:rPr>
                  <w:rStyle w:val="Hyperlink"/>
                </w:rPr>
                <w:t xml:space="preserve"> Cardiovascular medication - Superseded 01/03/2005, version 1, DE, NHDD, NHIMG,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1b456292b4d54">
              <w:r>
                <w:rPr>
                  <w:rStyle w:val="Hyperlink"/>
                </w:rPr>
                <w:t xml:space="preserve">Diabetes (clinical) DSS</w:t>
              </w:r>
            </w:hyperlink>
          </w:p>
          <w:p>
            <w:pPr>
              <w:pStyle w:val="registration-status"/>
              <w:spacing w:before="0" w:after="0"/>
            </w:pPr>
            <w:hyperlink w:history="true" r:id="R94cb942bb144463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hyperlink w:history="true" r:id="Rae4ea6885a524556">
              <w:r>
                <w:rPr>
                  <w:rStyle w:val="Hyperlink"/>
                </w:rPr>
                <w:t xml:space="preserve">Diabetes (clinical) NBPDS</w:t>
              </w:r>
            </w:hyperlink>
          </w:p>
          <w:p>
            <w:pPr>
              <w:pStyle w:val="registration-status"/>
              <w:spacing w:before="0" w:after="0"/>
            </w:pPr>
            <w:hyperlink w:history="true" r:id="Rf178d9e6a412439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p>
        </w:tc>
      </w:tr>
    </w:tbl>
    <w:p/>
    <w:tbl>
      <w:tblPr>
        <w:tblStyle w:val="TableGrid"/>
        <w:tblW w:w="0" w:type="auto"/>
      </w:tblPr>
    </w:tbl>
    <w:p>
      <w:r>
        <w:br/>
      </w:r>
    </w:p>
    <w:sectPr>
      <w:footerReference xmlns:r="http://schemas.openxmlformats.org/officeDocument/2006/relationships" w:type="default" r:id="Re518aa9097e8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9eabe4313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8aa9097e84d8b" /><Relationship Type="http://schemas.openxmlformats.org/officeDocument/2006/relationships/header" Target="/word/header1.xml" Id="R50531b367cff4497" /><Relationship Type="http://schemas.openxmlformats.org/officeDocument/2006/relationships/settings" Target="/word/settings.xml" Id="Rf7363b8cf7a04a4b" /><Relationship Type="http://schemas.openxmlformats.org/officeDocument/2006/relationships/styles" Target="/word/styles.xml" Id="Reb3586b6e503454b" /><Relationship Type="http://schemas.openxmlformats.org/officeDocument/2006/relationships/image" Target="/media/image.gif" Id="R59ba6ad3bc1442b4" /><Relationship Type="http://schemas.openxmlformats.org/officeDocument/2006/relationships/hyperlink" Target="https://meteor.aihw.gov.au/RegistrationAuthority/12" TargetMode="External" Id="Re00ed2213c274892" /><Relationship Type="http://schemas.openxmlformats.org/officeDocument/2006/relationships/hyperlink" Target="https://meteor.aihw.gov.au/content/269895" TargetMode="External" Id="R31e514df3b9849f4" /><Relationship Type="http://schemas.openxmlformats.org/officeDocument/2006/relationships/hyperlink" Target="https://meteor.aihw.gov.au/content/270788" TargetMode="External" Id="R5f7bc1cec4444a13" /><Relationship Type="http://schemas.openxmlformats.org/officeDocument/2006/relationships/hyperlink" Target="https://meteor.aihw.gov.au/content/273840" TargetMode="External" Id="R5f43a5e70d8044cc" /><Relationship Type="http://schemas.openxmlformats.org/officeDocument/2006/relationships/hyperlink" Target="https://meteor.aihw.gov.au/content/273054" TargetMode="External" Id="R1b01b456292b4d54" /><Relationship Type="http://schemas.openxmlformats.org/officeDocument/2006/relationships/hyperlink" Target="https://meteor.aihw.gov.au/RegistrationAuthority/12" TargetMode="External" Id="R94cb942bb1444631" /><Relationship Type="http://schemas.openxmlformats.org/officeDocument/2006/relationships/hyperlink" Target="https://meteor.aihw.gov.au/content/304865" TargetMode="External" Id="Rae4ea6885a524556" /><Relationship Type="http://schemas.openxmlformats.org/officeDocument/2006/relationships/hyperlink" Target="https://meteor.aihw.gov.au/RegistrationAuthority/12" TargetMode="External" Id="Rf178d9e6a4124392" /></Relationships>
</file>

<file path=word/_rels/header1.xml.rels>&#65279;<?xml version="1.0" encoding="utf-8"?><Relationships xmlns="http://schemas.openxmlformats.org/package/2006/relationships"><Relationship Type="http://schemas.openxmlformats.org/officeDocument/2006/relationships/image" Target="/media/image.png" Id="R0389eabe43134350" /></Relationships>
</file>