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da34cccc744d1" /></Relationships>
</file>

<file path=word/document.xml><?xml version="1.0" encoding="utf-8"?>
<w:document xmlns:r="http://schemas.openxmlformats.org/officeDocument/2006/relationships" xmlns:w="http://schemas.openxmlformats.org/wordprocessingml/2006/main">
  <w:body>
    <w:p>
      <w:pPr>
        <w:pStyle w:val="Title"/>
      </w:pPr>
      <w:r>
        <w:t>Episode of care (community setting)—first service delivery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(community setting)—first service delivery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delivery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155bf40e649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delivery of service to a person in a non-institutional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25d91ca2d4ace">
              <w:r>
                <w:rPr>
                  <w:rStyle w:val="Hyperlink"/>
                </w:rPr>
                <w:t xml:space="preserve">Episode of care—first service delivery date (community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bcc57c046148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occur on the same day or prior to the Date of last delivery of service, but must never occur after that date within the current episode of care. The date may be the same as the Community nursing service episode—first contact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 long as contact is made with the person in a non-institutional setting, the Episode of care (community setting)—first service delivery date, DDMMYYYY must be recorded. Normally this will be the first home or clinic visit and is the date most often referred to in a service agency as the admission. This date applies whether a person is being admitted for the first time, or is being re-admitted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used for the analysis of time periods within a care episode and to locate that episode in time. The date relates to the first delivery of formal services within the community setting.</w:t>
            </w:r>
          </w:p>
          <w:p>
            <w:pPr/>
            <w:r>
              <w:rPr>
                <w:rStyle w:val="row-content-rich-text"/>
              </w:rPr>
              <w:t xml:space="preserve">This date marks the most standard event, which occurs at the beginning of an episode of care in community setting. It should not be confused with the Date of first contact with a community nursing service; although they could be the same, the dates for both items must be recorded. Agencies providing </w:t>
            </w:r>
            <w:hyperlink w:tooltip="Provision of care to hospital admitted patients in their place of residence as a substitute for hospital accommodation. Place of residence may be permanent or temporary." w:history="true" r:id="R28c6ac2d54234978">
              <w:r>
                <w:rPr>
                  <w:rStyle w:val="Hyperlink"/>
                  <w:b/>
                </w:rPr>
                <w:t xml:space="preserve">hospital-in-the-home </w:t>
              </w:r>
            </w:hyperlink>
            <w:r>
              <w:rPr>
                <w:rStyle w:val="row-content-rich-text"/>
              </w:rPr>
              <w:t xml:space="preserve">services should develop their own method of distinguishing between the period the person remains a formal patient of the hospital, with funding to receive services at home, and the discharge of the person into the care of the 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0340efe2fbd47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340efe2fbd47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f73cac304a4455"/>
                            <a:srcRect/>
                            <a:stretch>
                              <a:fillRect/>
                            </a:stretch>
                          </pic:blipFill>
                          <pic:spPr bwMode="auto">
                            <a:xfrm>
                              <a:off x="0" y="0"/>
                              <a:ext cx="152400" cy="152400"/>
                            </a:xfrm>
                            <a:prstGeom prst="rect">
                              <a:avLst/>
                            </a:prstGeom>
                          </pic:spPr>
                        </pic:pic>
                      </a:graphicData>
                    </a:graphic>
                  </wp:inline>
                </w:drawing>
              </w:r>
              <w:r>
                <w:rPr>
                  <w:rStyle w:val="Hyperlink"/>
                </w:rPr>
                <w:t xml:space="preserve"> Date of first delivery of service, version 2,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a27680d1f00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cc661c187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7680d1f004941" /><Relationship Type="http://schemas.openxmlformats.org/officeDocument/2006/relationships/header" Target="/word/header1.xml" Id="R94178e9044b94720" /><Relationship Type="http://schemas.openxmlformats.org/officeDocument/2006/relationships/settings" Target="/word/settings.xml" Id="Ra099ad1cf5d844e4" /><Relationship Type="http://schemas.openxmlformats.org/officeDocument/2006/relationships/styles" Target="/word/styles.xml" Id="R597c7dd2de2f438f" /><Relationship Type="http://schemas.openxmlformats.org/officeDocument/2006/relationships/image" Target="/media/image.gif" Id="Rbbf73cac304a4455" /><Relationship Type="http://schemas.openxmlformats.org/officeDocument/2006/relationships/hyperlink" Target="https://meteor.aihw.gov.au/RegistrationAuthority/12" TargetMode="External" Id="Rba5155bf40e6493f" /><Relationship Type="http://schemas.openxmlformats.org/officeDocument/2006/relationships/hyperlink" Target="https://meteor.aihw.gov.au/content/269827" TargetMode="External" Id="R14b25d91ca2d4ace" /><Relationship Type="http://schemas.openxmlformats.org/officeDocument/2006/relationships/hyperlink" Target="https://meteor.aihw.gov.au/content/270566" TargetMode="External" Id="Rabbcc57c0461485f" /><Relationship Type="http://schemas.openxmlformats.org/officeDocument/2006/relationships/hyperlink" Target="https://meteor.aihw.gov.au/content/327308" TargetMode="External" Id="R28c6ac2d54234978" /><Relationship Type="http://schemas.openxmlformats.org/officeDocument/2006/relationships/hyperlink" Target="https://meteor.aihw.gov.au/content/273293" TargetMode="External" Id="Rd0340efe2fbd4784" /></Relationships>
</file>

<file path=word/_rels/header1.xml.rels>&#65279;<?xml version="1.0" encoding="utf-8"?><Relationships xmlns="http://schemas.openxmlformats.org/package/2006/relationships"><Relationship Type="http://schemas.openxmlformats.org/officeDocument/2006/relationships/image" Target="/media/image.png" Id="R1e8cc661c1874cde" /></Relationships>
</file>