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gif" ContentType="image/gif"/>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c81d658e21f444f" /></Relationships>
</file>

<file path=word/document.xml><?xml version="1.0" encoding="utf-8"?>
<w:document xmlns:r="http://schemas.openxmlformats.org/officeDocument/2006/relationships" xmlns:w="http://schemas.openxmlformats.org/wordprocessingml/2006/main">
  <w:body>
    <w:p>
      <w:pPr>
        <w:pStyle w:val="Title"/>
      </w:pPr>
      <w:r>
        <w:t>Person—communication method, code 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Person—communication method,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Communication method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270176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49eaae24b1a54a71">
              <w:r>
                <w:rPr>
                  <w:rStyle w:val="Hyperlink"/>
                  <w:color w:val="244061"/>
                </w:rPr>
                <w:t xml:space="preserve">Community Services (retired)</w:t>
              </w:r>
            </w:hyperlink>
            <w:r>
              <w:rPr>
                <w:rStyle w:val="row-content"/>
                <w:color w:val="244061"/>
              </w:rPr>
              <w:t xml:space="preserve">, Superseded 29/04/2006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method of communication, including sign language, most effectively used by the person,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38cfc60e8bde48e8">
              <w:r>
                <w:rPr>
                  <w:rStyle w:val="Hyperlink"/>
                </w:rPr>
                <w:t xml:space="preserve">Person—communication method</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238166b83a4d4d8b">
              <w:r>
                <w:rPr>
                  <w:rStyle w:val="Hyperlink"/>
                </w:rPr>
                <w:t xml:space="preserve">Communication method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0</w:t>
            </w:r>
          </w:p>
        </w:tc>
        <w:tc>
          <w:tcPr>
            <w:tcBorders>
              <w:top w:val="none" w:color="000000" w:sz="0"/>
              <w:left w:val="none" w:color="000000" w:sz="0"/>
              <w:bottom w:val="none" w:color="000000" w:sz="0"/>
              <w:right w:val="none" w:color="000000" w:sz="0"/>
            </w:tcBorders>
            <w:vAlign w:val="top"/>
          </w:tcPr>
          <w:p>
            <w:r>
              <w:t xml:space="preserve">Child aged under 5 years (not applicable)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Little, or no effective communication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Sign language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Other effective non-spoken communication (e.g. e-mail)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Spoken language (effective)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w:t>
            </w:r>
          </w:p>
        </w:tc>
        <w:tc>
          <w:tcPr>
            <w:tcBorders>
              <w:top w:val="none" w:color="000000" w:sz="0"/>
              <w:left w:val="none" w:color="000000" w:sz="0"/>
              <w:bottom w:val="none" w:color="000000" w:sz="0"/>
              <w:right w:val="none" w:color="000000" w:sz="0"/>
            </w:tcBorders>
            <w:vAlign w:val="top"/>
          </w:tcPr>
          <w:p>
            <w:r>
              <w:t xml:space="preserve">Other method of communication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0     Child aged under 5 years (not applicable)</w:t>
            </w:r>
          </w:p>
          <w:p>
            <w:pPr/>
            <w:r>
              <w:rPr>
                <w:rStyle w:val="row-content-rich-text"/>
              </w:rPr>
              <w:t xml:space="preserve">This metadata item is considered 'not applicable' to children under 5 because of the difficulty in assessing communication at early developmental stages. The Australian Bureau of Statistics (ABS) in the Survey of Disability, Ageing and Carers only asks questions about difficulty and assistance with communication for people aged 5 years and older. Hence, children aged 0-4 years should be coded as '0'.</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Bureau of Statistics 1999, Disability, Ageing and Carers: Summary of Findings, Australia, 1998, Cat. no. 4430.0, ABS, Canberra.</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 2002. Commonwealth State/Territory Disability Agreement National Minimum Data Set collection: Data guide-data items and definitions 2002-03.</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336e0723a5334951">
              <w:r>
                <w:rPr>
                  <w:rStyle w:val="Hyperlink"/>
                </w:rPr>
                <w:t xml:space="preserve">Person—communication method, code N</w:t>
              </w:r>
            </w:hyperlink>
          </w:p>
          <w:p>
            <w:pPr>
              <w:pStyle w:val="registration-status"/>
              <w:spacing w:before="0" w:after="0"/>
            </w:pPr>
            <w:hyperlink w:history="true" r:id="Re434198bbea14180">
              <w:r>
                <w:rPr>
                  <w:rStyle w:val="Hyperlink"/>
                  <w:color w:val="244061"/>
                </w:rPr>
                <w:t xml:space="preserve">Community Services (retired)</w:t>
              </w:r>
            </w:hyperlink>
            <w:r>
              <w:rPr>
                <w:rStyle w:val="row-content"/>
                <w:color w:val="244061"/>
              </w:rPr>
              <w:t xml:space="preserve">, Superseded 27/04/2007</w:t>
            </w:r>
          </w:p>
          <w:p>
            <w:r>
              <w:br/>
            </w:r>
            <w:r>
              <w:rPr>
                <w:rStyle w:val="row-content"/>
              </w:rPr>
              <w:t xml:space="preserve">Is re-engineered from </w:t>
            </w:r>
            <w:hyperlink w:history="true" r:id="Rba8a5fda17aa4265">
              <w:r>
                <w:drawing>
                  <wp:inline xmlns:wp="http://schemas.openxmlformats.org/drawingml/2006/wordprocessingDrawing" distT="0" distB="0" distL="0" distR="0">
                    <wp:extent cx="152400" cy="152400"/>
                    <wp:effectExtent l="19050" t="0" r="0" b="0"/>
                    <wp:docPr id="2" name="Picture 2" descr="">
                      <a:hlinkClick xmlns:a="http://schemas.openxmlformats.org/drawingml/2006/main" r:id="Rba8a5fda17aa4265" tooltip="PD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descr="PDF"/>
                            <pic:cNvPicPr>
                              <a:picLocks noChangeAspect="1" noChangeArrowheads="1"/>
                            </pic:cNvPicPr>
                          </pic:nvPicPr>
                          <pic:blipFill>
                            <a:blip r:embed="Rf8646b35438e454e"/>
                            <a:srcRect/>
                            <a:stretch>
                              <a:fillRect/>
                            </a:stretch>
                          </pic:blipFill>
                          <pic:spPr bwMode="auto">
                            <a:xfrm>
                              <a:off x="0" y="0"/>
                              <a:ext cx="152400" cy="152400"/>
                            </a:xfrm>
                            <a:prstGeom prst="rect">
                              <a:avLst/>
                            </a:prstGeom>
                          </pic:spPr>
                        </pic:pic>
                      </a:graphicData>
                    </a:graphic>
                  </wp:inline>
                </w:drawing>
              </w:r>
              <w:r>
                <w:rPr>
                  <w:rStyle w:val="Hyperlink"/>
                </w:rPr>
                <w:t xml:space="preserve"> Communication method, version 1, DE, NCSDD, NCSIMG, Superseded 01/03/2005.pdf</w:t>
              </w:r>
            </w:hyperlink>
          </w:p>
          <w:p>
            <w:r>
              <w:rPr>
                <w:rStyle w:val="row-content"/>
              </w:rPr>
              <w:t xml:space="preserve"> (15.1 KB)</w:t>
            </w:r>
          </w:p>
          <w:p>
            <w:pPr>
              <w:pStyle w:val="registration-status"/>
              <w:spacing w:before="0" w:after="0"/>
            </w:pPr>
            <w:r>
              <w:rPr>
                <w:rStyle w:val="row-content"/>
                <w:i/>
                <w:color w:val="244061"/>
              </w:rPr>
              <w:t xml:space="preserve">No registration status</w:t>
            </w:r>
          </w:p>
          <w:p>
            <w:r>
              <w:br/>
            </w:r>
          </w:p>
        </w:tc>
      </w:tr>
    </w:tbl>
    <w:p/>
    <w:tbl>
      <w:tblPr>
        <w:tblStyle w:val="TableGrid"/>
        <w:tblW w:w="0" w:type="auto"/>
      </w:tblPr>
    </w:tbl>
    <w:p>
      <w:r>
        <w:br/>
      </w:r>
    </w:p>
    <w:sectPr>
      <w:footerReference xmlns:r="http://schemas.openxmlformats.org/officeDocument/2006/relationships" w:type="default" r:id="R2a75f691b6424cc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270176</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12a09be31cbb4f5f"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2a75f691b6424ccf" /><Relationship Type="http://schemas.openxmlformats.org/officeDocument/2006/relationships/header" Target="/word/header1.xml" Id="R2605f5450a424f0b" /><Relationship Type="http://schemas.openxmlformats.org/officeDocument/2006/relationships/settings" Target="/word/settings.xml" Id="Rbc5f3afe00e34506" /><Relationship Type="http://schemas.openxmlformats.org/officeDocument/2006/relationships/styles" Target="/word/styles.xml" Id="R00cd98bf0d714d9d" /><Relationship Type="http://schemas.openxmlformats.org/officeDocument/2006/relationships/image" Target="/media/image.gif" Id="Rf8646b35438e454e" /><Relationship Type="http://schemas.openxmlformats.org/officeDocument/2006/relationships/hyperlink" Target="https://meteor.aihw.gov.au/RegistrationAuthority/1" TargetMode="External" Id="R49eaae24b1a54a71" /><Relationship Type="http://schemas.openxmlformats.org/officeDocument/2006/relationships/hyperlink" Target="https://meteor.aihw.gov.au/content/269643" TargetMode="External" Id="R38cfc60e8bde48e8" /><Relationship Type="http://schemas.openxmlformats.org/officeDocument/2006/relationships/hyperlink" Target="https://meteor.aihw.gov.au/content/270753" TargetMode="External" Id="R238166b83a4d4d8b" /><Relationship Type="http://schemas.openxmlformats.org/officeDocument/2006/relationships/hyperlink" Target="https://meteor.aihw.gov.au/content/322186" TargetMode="External" Id="R336e0723a5334951" /><Relationship Type="http://schemas.openxmlformats.org/officeDocument/2006/relationships/hyperlink" Target="https://meteor.aihw.gov.au/RegistrationAuthority/1" TargetMode="External" Id="Re434198bbea14180" /><Relationship Type="http://schemas.openxmlformats.org/officeDocument/2006/relationships/hyperlink" Target="https://meteor.aihw.gov.au/content/273505" TargetMode="External" Id="Rba8a5fda17aa4265" /></Relationships>
</file>

<file path=word/_rels/header1.xml.rels>&#65279;<?xml version="1.0" encoding="utf-8"?><Relationships xmlns="http://schemas.openxmlformats.org/package/2006/relationships"><Relationship Type="http://schemas.openxmlformats.org/officeDocument/2006/relationships/image" Target="/media/image.png" Id="R12a09be31cbb4f5f" /></Relationships>
</file>