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fe596388274d74" /></Relationships>
</file>

<file path=word/document.xml><?xml version="1.0" encoding="utf-8"?>
<w:document xmlns:r="http://schemas.openxmlformats.org/officeDocument/2006/relationships" xmlns:w="http://schemas.openxmlformats.org/wordprocessingml/2006/main">
  <w:body>
    <w:p>
      <w:pPr>
        <w:pStyle w:val="Title"/>
      </w:pPr>
      <w:r>
        <w:t>Household—household composition,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composition,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Household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d7091f5fe4d6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f842a771d246f5">
              <w:r>
                <w:rPr>
                  <w:rStyle w:val="Hyperlink"/>
                </w:rPr>
                <w:t xml:space="preserve">Household—household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51165843f84563">
              <w:r>
                <w:rPr>
                  <w:rStyle w:val="Hyperlink"/>
                </w:rPr>
                <w:t xml:space="preserve">Household composition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Sole parent with child(ren) under 16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Couple with child(ren) under 16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Family (with other family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 (with other non-related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Single (person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Group (unrelated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household must contain a member that is 15 years of age or more. If a household does not contain at least one member 15 years of age or over, it should be classified as Unknown.</w:t>
            </w:r>
          </w:p>
          <w:p>
            <w:pPr/>
            <w:r>
              <w:rPr>
                <w:rStyle w:val="row-content-rich-text"/>
              </w:rPr>
              <w:t xml:space="preserve">Unknown includes not available, not collected, not classifiable, not stated, and 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should be noted that only usual residents of a household are considered when describing and categorising households by Household type. Visitors to a household are, by definition, excluded from the household. Usual residence of members of a household is defined as '...that address at which the person has lived or intends to live for a total of 6 months of more' (Census Dictionary 1996).</w:t>
            </w:r>
          </w:p>
          <w:p>
            <w:pPr>
              <w:spacing w:after="160"/>
            </w:pPr>
            <w:r>
              <w:rPr>
                <w:rStyle w:val="row-content-rich-text"/>
              </w:rPr>
              <w:t xml:space="preserve">Other households, including multiple </w:t>
            </w:r>
            <w:hyperlink w:tooltip="Two or more people related by blood, marriage (including step-relations), adoption or fostering and who may or may not live together. They may form the central core of support networks for individuals." w:history="true" r:id="Rd0a3d556633e42bc">
              <w:r>
                <w:rPr>
                  <w:rStyle w:val="Hyperlink"/>
                  <w:b/>
                </w:rPr>
                <w:t xml:space="preserve">family</w:t>
              </w:r>
            </w:hyperlink>
            <w:r>
              <w:rPr>
                <w:rStyle w:val="row-content-rich-text"/>
              </w:rPr>
              <w:t xml:space="preserve"> households may be broken down further to show households with only family members present and those with non-family members present. A family household with only family members present is a household where every individual forms a familial relationship to one of the families belonging to the household. This relates to the ABS Household type definition.</w:t>
            </w:r>
          </w:p>
          <w:p>
            <w:pPr/>
            <w:r>
              <w:rPr>
                <w:rStyle w:val="row-content-rich-text"/>
              </w:rPr>
              <w:t xml:space="preserve">Household composition is not used for the Commonwealth State Housing Agreement </w:t>
            </w:r>
            <w:hyperlink w:tooltip="A measure of the appropriateness of housing related to the household size and household composition." w:history="true" r:id="R1aa6125fe8614c13">
              <w:r>
                <w:rPr>
                  <w:rStyle w:val="Hyperlink"/>
                  <w:b/>
                </w:rPr>
                <w:t xml:space="preserve">proxy occupancy standard</w:t>
              </w:r>
            </w:hyperlink>
            <w:r>
              <w:rPr>
                <w:rStyle w:val="row-content-rich-text"/>
              </w:rPr>
              <w:t xml:space="preserve">. Refer instead to </w:t>
            </w:r>
            <w:hyperlink w:history="true" r:id="R9d3d9af2137f4e0f">
              <w:r>
                <w:rPr>
                  <w:rStyle w:val="Hyperlink"/>
                </w:rPr>
                <w:t xml:space="preserve">Household—household group,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ABS the household is analysed on the basis of the existence or non-existence of family structure and the presence of unrelated household members, rather than on the basis of sex or age, for example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Standards for statistics on families. Australian Bureau of Statistics (ABS) Cat. No. 1286.0</w:t>
            </w:r>
          </w:p>
          <w:p>
            <w:pPr>
              <w:spacing w:after="160"/>
            </w:pPr>
            <w:r>
              <w:rPr>
                <w:rStyle w:val="row-content-rich-text"/>
              </w:rPr>
              <w:t xml:space="preserve">ABS: Directory of concepts and standards for social, labour and demographic statistics, 1995</w:t>
            </w:r>
          </w:p>
          <w:p>
            <w:pPr/>
            <w:r>
              <w:rPr>
                <w:rStyle w:val="row-content-rich-text"/>
              </w:rPr>
              <w:t xml:space="preserve">AIHW: Data Standardisation Project for the development of a national unit record public housing data set,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fb830338114d2e">
              <w:r>
                <w:rPr>
                  <w:rStyle w:val="Hyperlink"/>
                </w:rPr>
                <w:t xml:space="preserve">Household—household composition, code N{.N}</w:t>
              </w:r>
            </w:hyperlink>
          </w:p>
          <w:p>
            <w:pPr>
              <w:spacing w:before="0" w:after="0"/>
            </w:pPr>
            <w:r>
              <w:rPr>
                <w:rStyle w:val="row-content"/>
                <w:color w:val="244061"/>
              </w:rPr>
              <w:t xml:space="preserve">       </w:t>
            </w:r>
            <w:hyperlink w:history="true" r:id="Rae41f8915df940f3">
              <w:r>
                <w:rPr>
                  <w:rStyle w:val="Hyperlink"/>
                  <w:color w:val="244061"/>
                </w:rPr>
                <w:t xml:space="preserve">Housing assistance</w:t>
              </w:r>
            </w:hyperlink>
            <w:r>
              <w:rPr>
                <w:rStyle w:val="row-content"/>
                <w:color w:val="244061"/>
              </w:rPr>
              <w:t xml:space="preserve">, Superseded 04/06/2013</w:t>
            </w:r>
          </w:p>
          <w:p>
            <w:r>
              <w:br/>
            </w:r>
            <w:r>
              <w:rPr>
                <w:rStyle w:val="row-content"/>
              </w:rPr>
              <w:t xml:space="preserve">Is re-engineered from </w:t>
            </w:r>
            <w:hyperlink w:history="true" r:id="R4f95e87e4f5d43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f95e87e4f5d43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fec43db7c445e6"/>
                            <a:srcRect/>
                            <a:stretch>
                              <a:fillRect/>
                            </a:stretch>
                          </pic:blipFill>
                          <pic:spPr bwMode="auto">
                            <a:xfrm>
                              <a:off x="0" y="0"/>
                              <a:ext cx="152400" cy="152400"/>
                            </a:xfrm>
                            <a:prstGeom prst="rect">
                              <a:avLst/>
                            </a:prstGeom>
                          </pic:spPr>
                        </pic:pic>
                      </a:graphicData>
                    </a:graphic>
                  </wp:inline>
                </w:drawing>
              </w:r>
              <w:r>
                <w:rPr>
                  <w:rStyle w:val="Hyperlink"/>
                </w:rPr>
                <w:t xml:space="preserve"> Household composition, version 2, DE, NHADD, NHDAMG,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eb5742a23f9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e43505f89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b5742a23f941c0" /><Relationship Type="http://schemas.openxmlformats.org/officeDocument/2006/relationships/header" Target="/word/header1.xml" Id="R0b998dd114f44e55" /><Relationship Type="http://schemas.openxmlformats.org/officeDocument/2006/relationships/settings" Target="/word/settings.xml" Id="R39c29621faa6431c" /><Relationship Type="http://schemas.openxmlformats.org/officeDocument/2006/relationships/styles" Target="/word/styles.xml" Id="R3c3332143b584c47" /><Relationship Type="http://schemas.openxmlformats.org/officeDocument/2006/relationships/hyperlink" Target="https://meteor.aihw.gov.au/RegistrationAuthority/11" TargetMode="External" Id="Rf02d7091f5fe4d6f" /><Relationship Type="http://schemas.openxmlformats.org/officeDocument/2006/relationships/hyperlink" Target="https://meteor.aihw.gov.au/content/269608" TargetMode="External" Id="R13f842a771d246f5" /><Relationship Type="http://schemas.openxmlformats.org/officeDocument/2006/relationships/hyperlink" Target="https://meteor.aihw.gov.au/content/270729" TargetMode="External" Id="R0851165843f84563" /><Relationship Type="http://schemas.openxmlformats.org/officeDocument/2006/relationships/hyperlink" Target="https://meteor.aihw.gov.au/content/327232" TargetMode="External" Id="Rd0a3d556633e42bc" /><Relationship Type="http://schemas.openxmlformats.org/officeDocument/2006/relationships/hyperlink" Target="https://meteor.aihw.gov.au/content/327448" TargetMode="External" Id="R1aa6125fe8614c13" /><Relationship Type="http://schemas.openxmlformats.org/officeDocument/2006/relationships/hyperlink" Target="https://meteor.aihw.gov.au/content/270149" TargetMode="External" Id="R9d3d9af2137f4e0f" /><Relationship Type="http://schemas.openxmlformats.org/officeDocument/2006/relationships/hyperlink" Target="https://meteor.aihw.gov.au/content/301755" TargetMode="External" Id="Rd8fb830338114d2e" /><Relationship Type="http://schemas.openxmlformats.org/officeDocument/2006/relationships/hyperlink" Target="https://meteor.aihw.gov.au/RegistrationAuthority/11" TargetMode="External" Id="Rae41f8915df940f3" /><Relationship Type="http://schemas.openxmlformats.org/officeDocument/2006/relationships/hyperlink" Target="https://meteor.aihw.gov.au/content/273754" TargetMode="External" Id="R4f95e87e4f5d4334" /><Relationship Type="http://schemas.openxmlformats.org/officeDocument/2006/relationships/image" Target="/media/image.gif" Id="R75fec43db7c445e6" /></Relationships>
</file>

<file path=word/_rels/header1.xml.rels>&#65279;<?xml version="1.0" encoding="utf-8"?><Relationships xmlns="http://schemas.openxmlformats.org/package/2006/relationships"><Relationship Type="http://schemas.openxmlformats.org/officeDocument/2006/relationships/image" Target="/media/image.png" Id="R631e43505f894b28" /></Relationships>
</file>