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69228f1a7e4faa" /></Relationships>
</file>

<file path=word/document.xml><?xml version="1.0" encoding="utf-8"?>
<w:document xmlns:r="http://schemas.openxmlformats.org/officeDocument/2006/relationships" xmlns:w="http://schemas.openxmlformats.org/wordprocessingml/2006/main">
  <w:body>
    <w:p>
      <w:pPr>
        <w:pStyle w:val="Title"/>
      </w:pPr>
      <w:r>
        <w:t>Health professional—area of clinical practice (principal),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professional—area of clinical practice (principal),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area of clinical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d4ae6af82a489f">
              <w:r>
                <w:rPr>
                  <w:rStyle w:val="Hyperlink"/>
                  <w:color w:val="244061"/>
                </w:rPr>
                <w:t xml:space="preserve">Health</w:t>
              </w:r>
            </w:hyperlink>
            <w:r>
              <w:rPr>
                <w:rStyle w:val="row-content"/>
                <w:color w:val="244061"/>
              </w:rPr>
              <w:t xml:space="preserve">, Superseded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Principal area of clinical practice is defined as either the field of principal professional clinical activity or the primary area of responsibility, depending on the profession,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140466466c43ac">
              <w:r>
                <w:rPr>
                  <w:rStyle w:val="Hyperlink"/>
                </w:rPr>
                <w:t xml:space="preserve">Health professional—area of clinical practice (principal)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4f44a30e74482f">
              <w:r>
                <w:rPr>
                  <w:rStyle w:val="Hyperlink"/>
                </w:rPr>
                <w:t xml:space="preserve">Area of clinical practice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A11</w:t>
            </w:r>
          </w:p>
        </w:tc>
        <w:tc>
          <w:tcPr>
            <w:tcBorders>
              <w:top w:val="none" w:color="000000" w:sz="0"/>
              <w:left w:val="none" w:color="000000" w:sz="0"/>
              <w:bottom w:val="none" w:color="000000" w:sz="0"/>
              <w:right w:val="none" w:color="000000" w:sz="0"/>
            </w:tcBorders>
            <w:vAlign w:val="top"/>
          </w:tcPr>
          <w:p>
            <w:r>
              <w:t xml:space="preserve">General Practitioner (GP)/primary medical care practitioner -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A12</w:t>
            </w:r>
          </w:p>
        </w:tc>
        <w:tc>
          <w:tcPr>
            <w:tcBorders>
              <w:top w:val="none" w:color="000000" w:sz="0"/>
              <w:left w:val="none" w:color="000000" w:sz="0"/>
              <w:bottom w:val="none" w:color="000000" w:sz="0"/>
              <w:right w:val="none" w:color="000000" w:sz="0"/>
            </w:tcBorders>
            <w:vAlign w:val="top"/>
          </w:tcPr>
          <w:p>
            <w:r>
              <w:t xml:space="preserve">GP/primary medical care practitioner - a special interest area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A21</w:t>
            </w:r>
          </w:p>
        </w:tc>
        <w:tc>
          <w:tcPr>
            <w:tcBorders>
              <w:top w:val="none" w:color="000000" w:sz="0"/>
              <w:left w:val="none" w:color="000000" w:sz="0"/>
              <w:bottom w:val="none" w:color="000000" w:sz="0"/>
              <w:right w:val="none" w:color="000000" w:sz="0"/>
            </w:tcBorders>
            <w:vAlign w:val="top"/>
          </w:tcPr>
          <w:p>
            <w:r>
              <w:t xml:space="preserve">GP/primary medical care practitioner - vocationally registered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A22</w:t>
            </w:r>
          </w:p>
        </w:tc>
        <w:tc>
          <w:tcPr>
            <w:tcBorders>
              <w:top w:val="none" w:color="000000" w:sz="0"/>
              <w:left w:val="none" w:color="000000" w:sz="0"/>
              <w:bottom w:val="none" w:color="000000" w:sz="0"/>
              <w:right w:val="none" w:color="000000" w:sz="0"/>
            </w:tcBorders>
            <w:vAlign w:val="top"/>
          </w:tcPr>
          <w:p>
            <w:r>
              <w:t xml:space="preserve">GP/primary medical care practitioner - holder of fellowship of Royal Australian College of General Practitioners (RACGP)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A23</w:t>
            </w:r>
          </w:p>
        </w:tc>
        <w:tc>
          <w:tcPr>
            <w:tcBorders>
              <w:top w:val="none" w:color="000000" w:sz="0"/>
              <w:left w:val="none" w:color="000000" w:sz="0"/>
              <w:bottom w:val="none" w:color="000000" w:sz="0"/>
              <w:right w:val="none" w:color="000000" w:sz="0"/>
            </w:tcBorders>
            <w:vAlign w:val="top"/>
          </w:tcPr>
          <w:p>
            <w:r>
              <w:t xml:space="preserve">GP/primary medical care practitioner - RACGP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A24</w:t>
            </w:r>
          </w:p>
        </w:tc>
        <w:tc>
          <w:tcPr>
            <w:tcBorders>
              <w:top w:val="none" w:color="000000" w:sz="0"/>
              <w:left w:val="none" w:color="000000" w:sz="0"/>
              <w:bottom w:val="none" w:color="000000" w:sz="0"/>
              <w:right w:val="none" w:color="000000" w:sz="0"/>
            </w:tcBorders>
            <w:vAlign w:val="top"/>
          </w:tcPr>
          <w:p>
            <w:r>
              <w:t xml:space="preserve">GP/primary medical care practitioner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B31</w:t>
            </w:r>
          </w:p>
        </w:tc>
        <w:tc>
          <w:tcPr>
            <w:tcBorders>
              <w:top w:val="none" w:color="000000" w:sz="0"/>
              <w:left w:val="none" w:color="000000" w:sz="0"/>
              <w:bottom w:val="none" w:color="000000" w:sz="0"/>
              <w:right w:val="none" w:color="000000" w:sz="0"/>
            </w:tcBorders>
            <w:vAlign w:val="top"/>
          </w:tcPr>
          <w:p>
            <w:r>
              <w:t xml:space="preserve">Non-specialist hospital (salaried) - Resident Medical Officer (RMO)/intern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B32</w:t>
            </w:r>
          </w:p>
        </w:tc>
        <w:tc>
          <w:tcPr>
            <w:tcBorders>
              <w:top w:val="none" w:color="000000" w:sz="0"/>
              <w:left w:val="none" w:color="000000" w:sz="0"/>
              <w:bottom w:val="none" w:color="000000" w:sz="0"/>
              <w:right w:val="none" w:color="000000" w:sz="0"/>
            </w:tcBorders>
            <w:vAlign w:val="top"/>
          </w:tcPr>
          <w:p>
            <w:r>
              <w:t xml:space="preserve">Non-specialist hospital (salaried) - other hospital career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B41</w:t>
            </w:r>
          </w:p>
        </w:tc>
        <w:tc>
          <w:tcPr>
            <w:tcBorders>
              <w:top w:val="none" w:color="000000" w:sz="0"/>
              <w:left w:val="none" w:color="000000" w:sz="0"/>
              <w:bottom w:val="none" w:color="000000" w:sz="0"/>
              <w:right w:val="none" w:color="000000" w:sz="0"/>
            </w:tcBorders>
            <w:vAlign w:val="top"/>
          </w:tcPr>
          <w:p>
            <w:r>
              <w:t xml:space="preserve">Non-specialist hospital (salaried) - holder of Certificate of Satisfactory Completion of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B42</w:t>
            </w:r>
          </w:p>
        </w:tc>
        <w:tc>
          <w:tcPr>
            <w:tcBorders>
              <w:top w:val="none" w:color="000000" w:sz="0"/>
              <w:left w:val="none" w:color="000000" w:sz="0"/>
              <w:bottom w:val="none" w:color="000000" w:sz="0"/>
              <w:right w:val="none" w:color="000000" w:sz="0"/>
            </w:tcBorders>
            <w:vAlign w:val="top"/>
          </w:tcPr>
          <w:p>
            <w:r>
              <w:t xml:space="preserve">Non-specialist hospital (salaried) - RACGP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B44</w:t>
            </w:r>
          </w:p>
        </w:tc>
        <w:tc>
          <w:tcPr>
            <w:tcBorders>
              <w:top w:val="none" w:color="000000" w:sz="0"/>
              <w:left w:val="none" w:color="000000" w:sz="0"/>
              <w:bottom w:val="none" w:color="000000" w:sz="0"/>
              <w:right w:val="none" w:color="000000" w:sz="0"/>
            </w:tcBorders>
            <w:vAlign w:val="top"/>
          </w:tcPr>
          <w:p>
            <w:r>
              <w:t xml:space="preserve">Non-specialist hospital (salaried)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B51</w:t>
            </w:r>
          </w:p>
        </w:tc>
        <w:tc>
          <w:tcPr>
            <w:tcBorders>
              <w:top w:val="none" w:color="000000" w:sz="0"/>
              <w:left w:val="none" w:color="000000" w:sz="0"/>
              <w:bottom w:val="none" w:color="000000" w:sz="0"/>
              <w:right w:val="none" w:color="000000" w:sz="0"/>
            </w:tcBorders>
            <w:vAlign w:val="top"/>
          </w:tcPr>
          <w:p>
            <w:r>
              <w:t xml:space="preserve">Non-specialist hospital (salaried) - specialist (includes private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B52</w:t>
            </w:r>
          </w:p>
        </w:tc>
        <w:tc>
          <w:tcPr>
            <w:tcBorders>
              <w:top w:val="none" w:color="000000" w:sz="0"/>
              <w:left w:val="none" w:color="000000" w:sz="0"/>
              <w:bottom w:val="none" w:color="000000" w:sz="0"/>
              <w:right w:val="none" w:color="000000" w:sz="0"/>
            </w:tcBorders>
            <w:vAlign w:val="top"/>
          </w:tcPr>
          <w:p>
            <w:r>
              <w:t xml:space="preserve">Non-specialist hospital (salaried) - specialist in training (e.g. registrar)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B90</w:t>
            </w:r>
          </w:p>
        </w:tc>
        <w:tc>
          <w:tcPr>
            <w:tcBorders>
              <w:top w:val="none" w:color="000000" w:sz="0"/>
              <w:left w:val="none" w:color="000000" w:sz="0"/>
              <w:bottom w:val="none" w:color="000000" w:sz="0"/>
              <w:right w:val="none" w:color="000000" w:sz="0"/>
            </w:tcBorders>
            <w:vAlign w:val="top"/>
          </w:tcPr>
          <w:p>
            <w:r>
              <w:t xml:space="preserve">Non-specialist hospital (salaried) -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C01</w:t>
            </w:r>
          </w:p>
        </w:tc>
        <w:tc>
          <w:tcPr>
            <w:tcBorders>
              <w:top w:val="none" w:color="000000" w:sz="0"/>
              <w:left w:val="none" w:color="000000" w:sz="0"/>
              <w:bottom w:val="none" w:color="000000" w:sz="0"/>
              <w:right w:val="none" w:color="000000" w:sz="0"/>
            </w:tcBorders>
            <w:vAlign w:val="top"/>
          </w:tcPr>
          <w:p>
            <w:r>
              <w:t xml:space="preserve">Nurse labour force - mixed medical/surgical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C02</w:t>
            </w:r>
          </w:p>
        </w:tc>
        <w:tc>
          <w:tcPr>
            <w:tcBorders>
              <w:top w:val="none" w:color="000000" w:sz="0"/>
              <w:left w:val="none" w:color="000000" w:sz="0"/>
              <w:bottom w:val="none" w:color="000000" w:sz="0"/>
              <w:right w:val="none" w:color="000000" w:sz="0"/>
            </w:tcBorders>
            <w:vAlign w:val="top"/>
          </w:tcPr>
          <w:p>
            <w:r>
              <w:t xml:space="preserve">Nurse labour force - medical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C03</w:t>
            </w:r>
          </w:p>
        </w:tc>
        <w:tc>
          <w:tcPr>
            <w:tcBorders>
              <w:top w:val="none" w:color="000000" w:sz="0"/>
              <w:left w:val="none" w:color="000000" w:sz="0"/>
              <w:bottom w:val="none" w:color="000000" w:sz="0"/>
              <w:right w:val="none" w:color="000000" w:sz="0"/>
            </w:tcBorders>
            <w:vAlign w:val="top"/>
          </w:tcPr>
          <w:p>
            <w:r>
              <w:t xml:space="preserve">Nurse labour force - surgical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C04</w:t>
            </w:r>
          </w:p>
        </w:tc>
        <w:tc>
          <w:tcPr>
            <w:tcBorders>
              <w:top w:val="none" w:color="000000" w:sz="0"/>
              <w:left w:val="none" w:color="000000" w:sz="0"/>
              <w:bottom w:val="none" w:color="000000" w:sz="0"/>
              <w:right w:val="none" w:color="000000" w:sz="0"/>
            </w:tcBorders>
            <w:vAlign w:val="top"/>
          </w:tcPr>
          <w:p>
            <w:r>
              <w:t xml:space="preserve">Nurse labour force - operating theatre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C05</w:t>
            </w:r>
          </w:p>
        </w:tc>
        <w:tc>
          <w:tcPr>
            <w:tcBorders>
              <w:top w:val="none" w:color="000000" w:sz="0"/>
              <w:left w:val="none" w:color="000000" w:sz="0"/>
              <w:bottom w:val="none" w:color="000000" w:sz="0"/>
              <w:right w:val="none" w:color="000000" w:sz="0"/>
            </w:tcBorders>
            <w:vAlign w:val="top"/>
          </w:tcPr>
          <w:p>
            <w:r>
              <w:t xml:space="preserve">Nurse labour force - intensive care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C06</w:t>
            </w:r>
          </w:p>
        </w:tc>
        <w:tc>
          <w:tcPr>
            <w:tcBorders>
              <w:top w:val="none" w:color="000000" w:sz="0"/>
              <w:left w:val="none" w:color="000000" w:sz="0"/>
              <w:bottom w:val="none" w:color="000000" w:sz="0"/>
              <w:right w:val="none" w:color="000000" w:sz="0"/>
            </w:tcBorders>
            <w:vAlign w:val="top"/>
          </w:tcPr>
          <w:p>
            <w:r>
              <w:t xml:space="preserve">Nurse labour force - paediatric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Nurse labour force - maternity and obstetric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C08</w:t>
            </w:r>
          </w:p>
        </w:tc>
        <w:tc>
          <w:tcPr>
            <w:tcBorders>
              <w:top w:val="none" w:color="000000" w:sz="0"/>
              <w:left w:val="none" w:color="000000" w:sz="0"/>
              <w:bottom w:val="none" w:color="000000" w:sz="0"/>
              <w:right w:val="none" w:color="000000" w:sz="0"/>
            </w:tcBorders>
            <w:vAlign w:val="top"/>
          </w:tcPr>
          <w:p>
            <w:r>
              <w:t xml:space="preserve">Nurse labour force - psychiatric/mental health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C09</w:t>
            </w:r>
          </w:p>
        </w:tc>
        <w:tc>
          <w:tcPr>
            <w:tcBorders>
              <w:top w:val="none" w:color="000000" w:sz="0"/>
              <w:left w:val="none" w:color="000000" w:sz="0"/>
              <w:bottom w:val="none" w:color="000000" w:sz="0"/>
              <w:right w:val="none" w:color="000000" w:sz="0"/>
            </w:tcBorders>
            <w:vAlign w:val="top"/>
          </w:tcPr>
          <w:p>
            <w:r>
              <w:t xml:space="preserve">Nurse labour force - developmental disability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C10</w:t>
            </w:r>
          </w:p>
        </w:tc>
        <w:tc>
          <w:tcPr>
            <w:tcBorders>
              <w:top w:val="none" w:color="000000" w:sz="0"/>
              <w:left w:val="none" w:color="000000" w:sz="0"/>
              <w:bottom w:val="none" w:color="000000" w:sz="0"/>
              <w:right w:val="none" w:color="000000" w:sz="0"/>
            </w:tcBorders>
            <w:vAlign w:val="top"/>
          </w:tcPr>
          <w:p>
            <w:r>
              <w:t xml:space="preserve">Nurse labour force - gerontology/geriatric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C11</w:t>
            </w:r>
          </w:p>
        </w:tc>
        <w:tc>
          <w:tcPr>
            <w:tcBorders>
              <w:top w:val="none" w:color="000000" w:sz="0"/>
              <w:left w:val="none" w:color="000000" w:sz="0"/>
              <w:bottom w:val="none" w:color="000000" w:sz="0"/>
              <w:right w:val="none" w:color="000000" w:sz="0"/>
            </w:tcBorders>
            <w:vAlign w:val="top"/>
          </w:tcPr>
          <w:p>
            <w:r>
              <w:t xml:space="preserve">Nurse labour force - accident and emergency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C12</w:t>
            </w:r>
          </w:p>
        </w:tc>
        <w:tc>
          <w:tcPr>
            <w:tcBorders>
              <w:top w:val="none" w:color="000000" w:sz="0"/>
              <w:left w:val="none" w:color="000000" w:sz="0"/>
              <w:bottom w:val="none" w:color="000000" w:sz="0"/>
              <w:right w:val="none" w:color="000000" w:sz="0"/>
            </w:tcBorders>
            <w:vAlign w:val="top"/>
          </w:tcPr>
          <w:p>
            <w:r>
              <w:t xml:space="preserve">Nurse labour force - community health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C13</w:t>
            </w:r>
          </w:p>
        </w:tc>
        <w:tc>
          <w:tcPr>
            <w:tcBorders>
              <w:top w:val="none" w:color="000000" w:sz="0"/>
              <w:left w:val="none" w:color="000000" w:sz="0"/>
              <w:bottom w:val="none" w:color="000000" w:sz="0"/>
              <w:right w:val="none" w:color="000000" w:sz="0"/>
            </w:tcBorders>
            <w:vAlign w:val="top"/>
          </w:tcPr>
          <w:p>
            <w:r>
              <w:t xml:space="preserve">Nurse labour force - child health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C14</w:t>
            </w:r>
          </w:p>
        </w:tc>
        <w:tc>
          <w:tcPr>
            <w:tcBorders>
              <w:top w:val="none" w:color="000000" w:sz="0"/>
              <w:left w:val="none" w:color="000000" w:sz="0"/>
              <w:bottom w:val="none" w:color="000000" w:sz="0"/>
              <w:right w:val="none" w:color="000000" w:sz="0"/>
            </w:tcBorders>
            <w:vAlign w:val="top"/>
          </w:tcPr>
          <w:p>
            <w:r>
              <w:t xml:space="preserve">Nurse labour force - school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C15</w:t>
            </w:r>
          </w:p>
        </w:tc>
        <w:tc>
          <w:tcPr>
            <w:tcBorders>
              <w:top w:val="none" w:color="000000" w:sz="0"/>
              <w:left w:val="none" w:color="000000" w:sz="0"/>
              <w:bottom w:val="none" w:color="000000" w:sz="0"/>
              <w:right w:val="none" w:color="000000" w:sz="0"/>
            </w:tcBorders>
            <w:vAlign w:val="top"/>
          </w:tcPr>
          <w:p>
            <w:r>
              <w:t xml:space="preserve">Nurse labour force - district/domiciliary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C16</w:t>
            </w:r>
          </w:p>
        </w:tc>
        <w:tc>
          <w:tcPr>
            <w:tcBorders>
              <w:top w:val="none" w:color="000000" w:sz="0"/>
              <w:left w:val="none" w:color="000000" w:sz="0"/>
              <w:bottom w:val="none" w:color="000000" w:sz="0"/>
              <w:right w:val="none" w:color="000000" w:sz="0"/>
            </w:tcBorders>
            <w:vAlign w:val="top"/>
          </w:tcPr>
          <w:p>
            <w:r>
              <w:t xml:space="preserve">Nurse labour force - occupational health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C17</w:t>
            </w:r>
          </w:p>
        </w:tc>
        <w:tc>
          <w:tcPr>
            <w:tcBorders>
              <w:top w:val="none" w:color="000000" w:sz="0"/>
              <w:left w:val="none" w:color="000000" w:sz="0"/>
              <w:bottom w:val="none" w:color="000000" w:sz="0"/>
              <w:right w:val="none" w:color="000000" w:sz="0"/>
            </w:tcBorders>
            <w:vAlign w:val="top"/>
          </w:tcPr>
          <w:p>
            <w:r>
              <w:t xml:space="preserve">Nurse labour force - private medical practice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C18</w:t>
            </w:r>
          </w:p>
        </w:tc>
        <w:tc>
          <w:tcPr>
            <w:tcBorders>
              <w:top w:val="none" w:color="000000" w:sz="0"/>
              <w:left w:val="none" w:color="000000" w:sz="0"/>
              <w:bottom w:val="none" w:color="000000" w:sz="0"/>
              <w:right w:val="none" w:color="000000" w:sz="0"/>
            </w:tcBorders>
            <w:vAlign w:val="top"/>
          </w:tcPr>
          <w:p>
            <w:r>
              <w:t xml:space="preserve">Nurse labour force - independent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C19</w:t>
            </w:r>
          </w:p>
        </w:tc>
        <w:tc>
          <w:tcPr>
            <w:tcBorders>
              <w:top w:val="none" w:color="000000" w:sz="0"/>
              <w:left w:val="none" w:color="000000" w:sz="0"/>
              <w:bottom w:val="none" w:color="000000" w:sz="0"/>
              <w:right w:val="none" w:color="000000" w:sz="0"/>
            </w:tcBorders>
            <w:vAlign w:val="top"/>
          </w:tcPr>
          <w:p>
            <w:r>
              <w:t xml:space="preserve">Nurse labour force - independent midwifery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C20</w:t>
            </w:r>
          </w:p>
        </w:tc>
        <w:tc>
          <w:tcPr>
            <w:tcBorders>
              <w:top w:val="none" w:color="000000" w:sz="0"/>
              <w:left w:val="none" w:color="000000" w:sz="0"/>
              <w:bottom w:val="none" w:color="000000" w:sz="0"/>
              <w:right w:val="none" w:color="000000" w:sz="0"/>
            </w:tcBorders>
            <w:vAlign w:val="top"/>
          </w:tcPr>
          <w:p>
            <w:r>
              <w:t xml:space="preserve">Nurse labour force - no one principal area of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C98</w:t>
            </w:r>
          </w:p>
        </w:tc>
        <w:tc>
          <w:tcPr>
            <w:tcBorders>
              <w:top w:val="none" w:color="000000" w:sz="0"/>
              <w:left w:val="none" w:color="000000" w:sz="0"/>
              <w:bottom w:val="none" w:color="000000" w:sz="0"/>
              <w:right w:val="none" w:color="000000" w:sz="0"/>
            </w:tcBorders>
            <w:vAlign w:val="top"/>
          </w:tcPr>
          <w:p>
            <w:r>
              <w:t xml:space="preserve">Nurse labour force - other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C99</w:t>
            </w:r>
            <w:r>
              <w:br/>
            </w:r>
            <w:r>
              <w:t xml:space="preserve"> </w:t>
            </w:r>
          </w:p>
        </w:tc>
        <w:tc>
          <w:tcPr>
            <w:tcBorders>
              <w:top w:val="none" w:color="000000" w:sz="0"/>
              <w:left w:val="none" w:color="000000" w:sz="0"/>
              <w:bottom w:val="none" w:color="000000" w:sz="0"/>
              <w:right w:val="none" w:color="000000" w:sz="0"/>
            </w:tcBorders>
            <w:vAlign w:val="top"/>
          </w:tcPr>
          <w:p>
            <w:r>
              <w:t xml:space="preserve">Nurse labour force - unknown/inadequately described/not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Specifics will vary for each profession as appropriate and will be reflected in the classification/coding that is applied. Classification within the National Health Labour Force Collection is profession-specific.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nursing labour force-specific codes are subject to revision because of changes in the profession and should be read in the context of the comments below.</w:t>
            </w:r>
          </w:p>
          <w:p>
            <w:pPr/>
            <w:r>
              <w:rPr>
                <w:rStyle w:val="row-content-rich-text"/>
              </w:rPr>
              <w:t xml:space="preserve">It is strongly recommended that, in the case of the nurse labour force, further disaggregation be avoided as much as possible. The reason for this recommendation is that any expansion of the classification to include specific specialty areas (e.g. cardiology, otorhinolaryngology, gynaecology etc.) will only capture data from hospitals with dedicated wards or units; persons whose clinical practice includes a mix of cases within a single ward setting (as in the majority of country and minor metropolitan hospitals) will not be included in any single specialty count, leading to a risk of the data being misinterpreted. The data would show a far lower number of practitioners involved in providing services to patients with some of the listed specialty conditions than is the case.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Labour Force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8804f9ac774ad3">
              <w:r>
                <w:rPr>
                  <w:rStyle w:val="Hyperlink"/>
                </w:rPr>
                <w:t xml:space="preserve">Registered health professional—principal area of  practice, midwifery code NN</w:t>
              </w:r>
            </w:hyperlink>
          </w:p>
          <w:p>
            <w:pPr>
              <w:spacing w:before="0" w:after="0"/>
            </w:pPr>
            <w:r>
              <w:rPr>
                <w:rStyle w:val="row-content"/>
                <w:color w:val="244061"/>
              </w:rPr>
              <w:t xml:space="preserve">       </w:t>
            </w:r>
            <w:hyperlink w:history="true" r:id="Ra723481679be4b05">
              <w:r>
                <w:rPr>
                  <w:rStyle w:val="Hyperlink"/>
                  <w:color w:val="244061"/>
                </w:rPr>
                <w:t xml:space="preserve">Health</w:t>
              </w:r>
            </w:hyperlink>
            <w:r>
              <w:rPr>
                <w:rStyle w:val="row-content"/>
                <w:color w:val="244061"/>
              </w:rPr>
              <w:t xml:space="preserve">, Standard 10/12/2009</w:t>
            </w:r>
          </w:p>
          <w:p>
            <w:r>
              <w:br/>
            </w:r>
            <w:r>
              <w:rPr>
                <w:rStyle w:val="row-content"/>
              </w:rPr>
              <w:t xml:space="preserve">Has been superseded by </w:t>
            </w:r>
            <w:hyperlink w:history="true" r:id="R79944f842bb84b9b">
              <w:r>
                <w:rPr>
                  <w:rStyle w:val="Hyperlink"/>
                </w:rPr>
                <w:t xml:space="preserve">Registered health professional—principal area of  practice, nursing code NN</w:t>
              </w:r>
            </w:hyperlink>
          </w:p>
          <w:p>
            <w:pPr>
              <w:spacing w:before="0" w:after="0"/>
            </w:pPr>
            <w:r>
              <w:rPr>
                <w:rStyle w:val="row-content"/>
                <w:color w:val="244061"/>
              </w:rPr>
              <w:t xml:space="preserve">       </w:t>
            </w:r>
            <w:hyperlink w:history="true" r:id="R252072e686e8456f">
              <w:r>
                <w:rPr>
                  <w:rStyle w:val="Hyperlink"/>
                  <w:color w:val="244061"/>
                </w:rPr>
                <w:t xml:space="preserve">Health</w:t>
              </w:r>
            </w:hyperlink>
            <w:r>
              <w:rPr>
                <w:rStyle w:val="row-content"/>
                <w:color w:val="244061"/>
              </w:rPr>
              <w:t xml:space="preserve">, Standard 10/12/2009</w:t>
            </w:r>
          </w:p>
          <w:p>
            <w:r>
              <w:br/>
            </w:r>
            <w:r>
              <w:rPr>
                <w:rStyle w:val="row-content"/>
              </w:rPr>
              <w:t xml:space="preserve">Has been superseded by </w:t>
            </w:r>
            <w:hyperlink w:history="true" r:id="R5e4f1444003f4153">
              <w:r>
                <w:rPr>
                  <w:rStyle w:val="Hyperlink"/>
                </w:rPr>
                <w:t xml:space="preserve">Registered health professional—principal area of practice, dental code NN</w:t>
              </w:r>
            </w:hyperlink>
          </w:p>
          <w:p>
            <w:pPr>
              <w:spacing w:before="0" w:after="0"/>
            </w:pPr>
            <w:r>
              <w:rPr>
                <w:rStyle w:val="row-content"/>
                <w:color w:val="244061"/>
              </w:rPr>
              <w:t xml:space="preserve">       </w:t>
            </w:r>
            <w:hyperlink w:history="true" r:id="R5a587e4eb41e4277">
              <w:r>
                <w:rPr>
                  <w:rStyle w:val="Hyperlink"/>
                  <w:color w:val="244061"/>
                </w:rPr>
                <w:t xml:space="preserve">Health</w:t>
              </w:r>
            </w:hyperlink>
            <w:r>
              <w:rPr>
                <w:rStyle w:val="row-content"/>
                <w:color w:val="244061"/>
              </w:rPr>
              <w:t xml:space="preserve">, Standard 10/12/2009</w:t>
            </w:r>
          </w:p>
          <w:p>
            <w:r>
              <w:br/>
            </w:r>
            <w:r>
              <w:rPr>
                <w:rStyle w:val="row-content"/>
              </w:rPr>
              <w:t xml:space="preserve">Has been superseded by </w:t>
            </w:r>
            <w:hyperlink w:history="true" r:id="Re1dfbd8923f5476d">
              <w:r>
                <w:rPr>
                  <w:rStyle w:val="Hyperlink"/>
                </w:rPr>
                <w:t xml:space="preserve">Registered health professional—principal area of practice, psychology code NN</w:t>
              </w:r>
            </w:hyperlink>
          </w:p>
          <w:p>
            <w:pPr>
              <w:spacing w:before="0" w:after="0"/>
            </w:pPr>
            <w:r>
              <w:rPr>
                <w:rStyle w:val="row-content"/>
                <w:color w:val="244061"/>
              </w:rPr>
              <w:t xml:space="preserve">       </w:t>
            </w:r>
            <w:hyperlink w:history="true" r:id="Rfa532d6ded0e4ac5">
              <w:r>
                <w:rPr>
                  <w:rStyle w:val="Hyperlink"/>
                  <w:color w:val="244061"/>
                </w:rPr>
                <w:t xml:space="preserve">Health</w:t>
              </w:r>
            </w:hyperlink>
            <w:r>
              <w:rPr>
                <w:rStyle w:val="row-content"/>
                <w:color w:val="244061"/>
              </w:rPr>
              <w:t xml:space="preserve">, Standard 10/12/2009</w:t>
            </w:r>
          </w:p>
          <w:p>
            <w:r>
              <w:br/>
            </w:r>
            <w:r>
              <w:rPr>
                <w:rStyle w:val="row-content"/>
              </w:rPr>
              <w:t xml:space="preserve">Is re-engineered from </w:t>
            </w:r>
            <w:hyperlink w:history="true" r:id="R092f7860dd884334">
              <w:r>
                <w:drawing>
                  <wp:inline xmlns:wp="http://schemas.openxmlformats.org/drawingml/2006/wordprocessingDrawing" distT="0" distB="0" distL="0" distR="0">
                    <wp:extent cx="152400" cy="152400"/>
                    <wp:effectExtent l="19050" t="0" r="0" b="0"/>
                    <wp:docPr id="2" name="Picture 2" descr="">
                      <a:hlinkClick xmlns:a="http://schemas.openxmlformats.org/drawingml/2006/main" r:id="R092f7860dd88433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b4282e4809946ac"/>
                            <a:srcRect/>
                            <a:stretch>
                              <a:fillRect/>
                            </a:stretch>
                          </pic:blipFill>
                          <pic:spPr bwMode="auto">
                            <a:xfrm>
                              <a:off x="0" y="0"/>
                              <a:ext cx="152400" cy="152400"/>
                            </a:xfrm>
                            <a:prstGeom prst="rect">
                              <a:avLst/>
                            </a:prstGeom>
                          </pic:spPr>
                        </pic:pic>
                      </a:graphicData>
                    </a:graphic>
                  </wp:inline>
                </w:drawing>
              </w:r>
              <w:r>
                <w:rPr>
                  <w:rStyle w:val="Hyperlink"/>
                </w:rPr>
                <w:t xml:space="preserve"> Principal area of clinical practice, version 1, DE, NHDD, NHIMG, Superseded 01/03/2005.pdf</w:t>
              </w:r>
            </w:hyperlink>
          </w:p>
          <w:p>
            <w:r>
              <w:rPr>
                <w:rStyle w:val="row-content"/>
              </w:rPr>
              <w:t xml:space="preserve"> (22.7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20c5bfd5be4bb6">
              <w:r>
                <w:rPr>
                  <w:rStyle w:val="Hyperlink"/>
                </w:rPr>
                <w:t xml:space="preserve">Health labour force NMDS</w:t>
              </w:r>
            </w:hyperlink>
          </w:p>
          <w:p>
            <w:pPr>
              <w:spacing w:before="0" w:after="0"/>
            </w:pPr>
            <w:r>
              <w:rPr>
                <w:rStyle w:val="row-content"/>
                <w:color w:val="244061"/>
              </w:rPr>
              <w:t xml:space="preserve">       </w:t>
            </w:r>
            <w:hyperlink w:history="true" r:id="R35d5237eb6854d12">
              <w:r>
                <w:rPr>
                  <w:rStyle w:val="Hyperlink"/>
                  <w:color w:val="244061"/>
                </w:rPr>
                <w:t xml:space="preserve">Health</w:t>
              </w:r>
            </w:hyperlink>
            <w:r>
              <w:rPr>
                <w:rStyle w:val="row-content"/>
                <w:color w:val="244061"/>
              </w:rPr>
              <w:t xml:space="preserve">, Superseded 10/12/2009</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To analyse distribution of clinical service providers by the area of their principal clinical practice. Cross-classified with other data, this metadata item allows analysis of geographic distribution and profiles of population subsets. Required for health labour force modelling.</w:t>
            </w:r>
          </w:p>
          <w:p>
            <w:r>
              <w:br/>
            </w:r>
            <w:r>
              <w:br/>
            </w:r>
          </w:p>
        </w:tc>
      </w:tr>
    </w:tbl>
    <w:p/>
    <w:tbl>
      <w:tblPr>
        <w:tblStyle w:val="TableGrid"/>
        <w:tblW w:w="0" w:type="auto"/>
      </w:tblPr>
    </w:tbl>
    <w:p>
      <w:r>
        <w:br/>
      </w:r>
    </w:p>
    <w:sectPr>
      <w:footerReference xmlns:r="http://schemas.openxmlformats.org/officeDocument/2006/relationships" w:type="default" r:id="R42ea39045e4140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270144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c20adfa47546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ea39045e41406d" /><Relationship Type="http://schemas.openxmlformats.org/officeDocument/2006/relationships/header" Target="/word/header1.xml" Id="R0f3cf834382f4245" /><Relationship Type="http://schemas.openxmlformats.org/officeDocument/2006/relationships/settings" Target="/word/settings.xml" Id="Rf0023bf107b54695" /><Relationship Type="http://schemas.openxmlformats.org/officeDocument/2006/relationships/styles" Target="/word/styles.xml" Id="R09f715a18b314c92" /><Relationship Type="http://schemas.openxmlformats.org/officeDocument/2006/relationships/hyperlink" Target="https://meteor.aihw.gov.au/RegistrationAuthority/12" TargetMode="External" Id="Rf1d4ae6af82a489f" /><Relationship Type="http://schemas.openxmlformats.org/officeDocument/2006/relationships/hyperlink" Target="https://meteor.aihw.gov.au/content/269604" TargetMode="External" Id="Rbb140466466c43ac" /><Relationship Type="http://schemas.openxmlformats.org/officeDocument/2006/relationships/hyperlink" Target="https://meteor.aihw.gov.au/content/270725" TargetMode="External" Id="Rd64f44a30e74482f" /><Relationship Type="http://schemas.openxmlformats.org/officeDocument/2006/relationships/hyperlink" Target="https://meteor.aihw.gov.au/content/382168" TargetMode="External" Id="R1f8804f9ac774ad3" /><Relationship Type="http://schemas.openxmlformats.org/officeDocument/2006/relationships/hyperlink" Target="https://meteor.aihw.gov.au/RegistrationAuthority/12" TargetMode="External" Id="Ra723481679be4b05" /><Relationship Type="http://schemas.openxmlformats.org/officeDocument/2006/relationships/hyperlink" Target="https://meteor.aihw.gov.au/content/377983" TargetMode="External" Id="R79944f842bb84b9b" /><Relationship Type="http://schemas.openxmlformats.org/officeDocument/2006/relationships/hyperlink" Target="https://meteor.aihw.gov.au/RegistrationAuthority/12" TargetMode="External" Id="R252072e686e8456f" /><Relationship Type="http://schemas.openxmlformats.org/officeDocument/2006/relationships/hyperlink" Target="https://meteor.aihw.gov.au/content/377981" TargetMode="External" Id="R5e4f1444003f4153" /><Relationship Type="http://schemas.openxmlformats.org/officeDocument/2006/relationships/hyperlink" Target="https://meteor.aihw.gov.au/RegistrationAuthority/12" TargetMode="External" Id="R5a587e4eb41e4277" /><Relationship Type="http://schemas.openxmlformats.org/officeDocument/2006/relationships/hyperlink" Target="https://meteor.aihw.gov.au/content/377985" TargetMode="External" Id="Re1dfbd8923f5476d" /><Relationship Type="http://schemas.openxmlformats.org/officeDocument/2006/relationships/hyperlink" Target="https://meteor.aihw.gov.au/RegistrationAuthority/12" TargetMode="External" Id="Rfa532d6ded0e4ac5" /><Relationship Type="http://schemas.openxmlformats.org/officeDocument/2006/relationships/hyperlink" Target="https://meteor.aihw.gov.au/content/273162" TargetMode="External" Id="R092f7860dd884334" /><Relationship Type="http://schemas.openxmlformats.org/officeDocument/2006/relationships/image" Target="/media/image.gif" Id="R8b4282e4809946ac" /><Relationship Type="http://schemas.openxmlformats.org/officeDocument/2006/relationships/hyperlink" Target="https://meteor.aihw.gov.au/content/273041" TargetMode="External" Id="R1d20c5bfd5be4bb6" /><Relationship Type="http://schemas.openxmlformats.org/officeDocument/2006/relationships/hyperlink" Target="https://meteor.aihw.gov.au/RegistrationAuthority/12" TargetMode="External" Id="R35d5237eb6854d12" /></Relationships>
</file>

<file path=word/_rels/header1.xml.rels>&#65279;<?xml version="1.0" encoding="utf-8"?><Relationships xmlns="http://schemas.openxmlformats.org/package/2006/relationships"><Relationship Type="http://schemas.openxmlformats.org/officeDocument/2006/relationships/image" Target="/media/image.png" Id="R5cc20adfa4754696" /></Relationships>
</file>