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fc0ecadac428b"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0bd8174ba428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employee expenses (Economic Type Framework Classification code 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13d93375a400e">
              <w:r>
                <w:rPr>
                  <w:rStyle w:val="Hyperlink"/>
                </w:rPr>
                <w:t xml:space="preserve">Housing assistance agency—recurrent expenditure (employee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6c56cb28d64fe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expenses include:</w:t>
            </w:r>
          </w:p>
          <w:p>
            <w:pPr>
              <w:pStyle w:val="ListParagraph"/>
              <w:numPr>
                <w:ilvl w:val="0"/>
                <w:numId w:val="2"/>
              </w:numPr>
            </w:pPr>
            <w:r>
              <w:rPr>
                <w:rStyle w:val="row-content-rich-text"/>
              </w:rPr>
              <w:t xml:space="preserve">funded superannuation expenses</w:t>
            </w:r>
          </w:p>
          <w:p>
            <w:pPr>
              <w:pStyle w:val="ListParagraph"/>
              <w:numPr>
                <w:ilvl w:val="0"/>
                <w:numId w:val="2"/>
              </w:numPr>
            </w:pPr>
            <w:r>
              <w:rPr>
                <w:rStyle w:val="row-content-rich-text"/>
              </w:rPr>
              <w:t xml:space="preserve">unfunded superannuation expenses</w:t>
            </w:r>
          </w:p>
          <w:p>
            <w:pPr>
              <w:pStyle w:val="ListParagraph"/>
              <w:numPr>
                <w:ilvl w:val="0"/>
                <w:numId w:val="2"/>
              </w:numPr>
            </w:pPr>
            <w:r>
              <w:rPr>
                <w:rStyle w:val="row-content-rich-text"/>
              </w:rPr>
              <w:t xml:space="preserve">wages, salaries and supplements (non-capitalised)</w:t>
            </w:r>
          </w:p>
          <w:p>
            <w:pPr>
              <w:pStyle w:val="ListParagraph"/>
              <w:numPr>
                <w:ilvl w:val="0"/>
                <w:numId w:val="2"/>
              </w:numPr>
            </w:pPr>
            <w:r>
              <w:rPr>
                <w:rStyle w:val="row-content-rich-text"/>
              </w:rPr>
              <w:t xml:space="preserve">employee expenses provisions adjustments</w:t>
            </w:r>
          </w:p>
          <w:p>
            <w:pPr>
              <w:pStyle w:val="ListParagraph"/>
              <w:numPr>
                <w:ilvl w:val="0"/>
                <w:numId w:val="2"/>
              </w:numPr>
            </w:pPr>
            <w:r>
              <w:rPr>
                <w:rStyle w:val="row-content-rich-text"/>
              </w:rPr>
              <w:t xml:space="preserve">other employee expenses including, accrued expenses for the period relating to accident compensation premiums, sick leave, annual leave, long service leave, retirement and redundancy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cfe4bc8688c4f20">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4f9db88948447ce">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968b8143ee5a45e1">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1e0e6c5be451463a">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9c5747321be94796">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47c1050d375c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6c517282d48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1050d375c48c6" /><Relationship Type="http://schemas.openxmlformats.org/officeDocument/2006/relationships/header" Target="/word/header1.xml" Id="Ra52b3ec9d2da46ef" /><Relationship Type="http://schemas.openxmlformats.org/officeDocument/2006/relationships/settings" Target="/word/settings.xml" Id="R99ebff2808214d7f" /><Relationship Type="http://schemas.openxmlformats.org/officeDocument/2006/relationships/styles" Target="/word/styles.xml" Id="Rb50b81c54cb540c3" /><Relationship Type="http://schemas.openxmlformats.org/officeDocument/2006/relationships/hyperlink" Target="https://meteor.aihw.gov.au/RegistrationAuthority/11" TargetMode="External" Id="Rd400bd8174ba4288" /><Relationship Type="http://schemas.openxmlformats.org/officeDocument/2006/relationships/hyperlink" Target="https://meteor.aihw.gov.au/content/269579" TargetMode="External" Id="R89213d93375a400e" /><Relationship Type="http://schemas.openxmlformats.org/officeDocument/2006/relationships/hyperlink" Target="https://meteor.aihw.gov.au/content/270772" TargetMode="External" Id="R0b6c56cb28d64fe4" /><Relationship Type="http://schemas.openxmlformats.org/officeDocument/2006/relationships/numbering" Target="/word/numbering.xml" Id="R0570df0cbb184e93" /><Relationship Type="http://schemas.openxmlformats.org/officeDocument/2006/relationships/hyperlink" Target="http://www.abs.gov.au/ausstats/abs@.nsf/9cfdfe271b7930bbca2568b5007b8618/b350d0fa546d1293ca25706f00795a8b!OpenDocument" TargetMode="External" Id="Racfe4bc8688c4f20" /><Relationship Type="http://schemas.openxmlformats.org/officeDocument/2006/relationships/hyperlink" Target="https://meteor.aihw.gov.au/content/270465" TargetMode="External" Id="Rf4f9db88948447ce" /><Relationship Type="http://schemas.openxmlformats.org/officeDocument/2006/relationships/hyperlink" Target="https://meteor.aihw.gov.au/RegistrationAuthority/11" TargetMode="External" Id="R968b8143ee5a45e1" /><Relationship Type="http://schemas.openxmlformats.org/officeDocument/2006/relationships/hyperlink" Target="https://meteor.aihw.gov.au/content/464844" TargetMode="External" Id="R1e0e6c5be451463a" /><Relationship Type="http://schemas.openxmlformats.org/officeDocument/2006/relationships/hyperlink" Target="https://meteor.aihw.gov.au/RegistrationAuthority/11" TargetMode="External" Id="R9c5747321be94796" /></Relationships>
</file>

<file path=word/_rels/header1.xml.rels>&#65279;<?xml version="1.0" encoding="utf-8"?><Relationships xmlns="http://schemas.openxmlformats.org/package/2006/relationships"><Relationship Type="http://schemas.openxmlformats.org/officeDocument/2006/relationships/image" Target="/media/image.png" Id="Rd3c6c517282d48dc" /></Relationships>
</file>