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a38492b80a4946" /></Relationships>
</file>

<file path=word/document.xml><?xml version="1.0" encoding="utf-8"?>
<w:document xmlns:r="http://schemas.openxmlformats.org/officeDocument/2006/relationships" xmlns:w="http://schemas.openxmlformats.org/wordprocessingml/2006/main">
  <w:body>
    <w:p>
      <w:pPr>
        <w:pStyle w:val="Title"/>
      </w:pPr>
      <w:r>
        <w:t>Person—blood pressure (systolic) (measured),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(systolic) (measured),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pressure—systolic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bf54672c24d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systolic </w:t>
            </w:r>
          </w:p>
          <w:p>
            <w:hyperlink w:tooltip="The pressure exerted by blood against the walls of the blood vessels - i.e. arteries, capillaries or veins." w:history="true" r:id="R2c135b31cf7f4986">
              <w:r>
                <w:rPr>
                  <w:rStyle w:val="Hyperlink"/>
                  <w:b/>
                </w:rPr>
                <w:t xml:space="preserve">blood pressure, </w:t>
              </w:r>
            </w:hyperlink>
            <w:r>
              <w:rPr>
                <w:rStyle w:val="row-content-rich-text"/>
              </w:rPr>
              <w:t xml:space="preserve">measured in millimetres of mercury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95b02df094c2c">
              <w:r>
                <w:rPr>
                  <w:rStyle w:val="Hyperlink"/>
                </w:rPr>
                <w:t xml:space="preserve">Person—blood pressure (systolic)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68432b89204504">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recording the systolic reading, use phase I Korotkoff (the first appearance of sound). If Blood pressure - systolic is not collected or not able to be collected,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protocol for resting blood pressure:</w:t>
            </w:r>
          </w:p>
          <w:p>
            <w:pPr>
              <w:spacing w:after="160"/>
            </w:pPr>
            <w:r>
              <w:rPr>
                <w:rStyle w:val="row-content-rich-text"/>
              </w:rPr>
              <w:t xml:space="preserve">The systolic blood pressure is one component of a routine blood pressure measurement (i.e. systolic/diastolic) and reflects the maximum pressure to which the arteries are exposed.</w:t>
            </w:r>
          </w:p>
          <w:p>
            <w:pPr>
              <w:pStyle w:val="ListParagraph"/>
              <w:numPr>
                <w:ilvl w:val="0"/>
                <w:numId w:val="2"/>
              </w:numPr>
            </w:pPr>
            <w:r>
              <w:rPr>
                <w:rStyle w:val="row-content-rich-text"/>
              </w:rPr>
              <w:t xml:space="preserve">The patient should be relaxed and seated, preferably for several minutes, (at least 5 minutes). Ideally, patients should not take caffeine-containing beverages or smoke for two hours before blood pressure is measured. </w:t>
            </w:r>
          </w:p>
          <w:p>
            <w:pPr>
              <w:pStyle w:val="ListParagraph"/>
              <w:numPr>
                <w:ilvl w:val="0"/>
                <w:numId w:val="2"/>
              </w:numPr>
            </w:pPr>
            <w:r>
              <w:rPr>
                <w:rStyle w:val="row-content-rich-text"/>
              </w:rPr>
              <w:t xml:space="preserve">Ideally, patients should not exercise within half an hour of the measurement being taken (National Nutrition Survey User's Guide). </w:t>
            </w:r>
          </w:p>
          <w:p>
            <w:pPr>
              <w:pStyle w:val="ListParagraph"/>
              <w:numPr>
                <w:ilvl w:val="0"/>
                <w:numId w:val="2"/>
              </w:numPr>
            </w:pPr>
            <w:r>
              <w:rPr>
                <w:rStyle w:val="row-content-rich-text"/>
              </w:rPr>
              <w:t xml:space="preserve">Use a mercury sphygmomanometer. All other sphygmomanometers should be calibrated regularly against mercury sphygmomanometers to ensure accuracy.</w:t>
            </w:r>
          </w:p>
          <w:p>
            <w:pPr>
              <w:pStyle w:val="ListParagraph"/>
              <w:numPr>
                <w:ilvl w:val="0"/>
                <w:numId w:val="2"/>
              </w:numPr>
            </w:pPr>
            <w:r>
              <w:rPr>
                <w:rStyle w:val="row-content-rich-text"/>
              </w:rPr>
              <w:t xml:space="preserve">Bladder length should be at least 80%, and width at least 40% of the circumference of the mid-upper arm. If the Velcro on the cuff is not totally attached, the cuff is probably too small.</w:t>
            </w:r>
          </w:p>
          <w:p>
            <w:pPr>
              <w:pStyle w:val="ListParagraph"/>
              <w:numPr>
                <w:ilvl w:val="0"/>
                <w:numId w:val="2"/>
              </w:numPr>
            </w:pPr>
            <w:r>
              <w:rPr>
                <w:rStyle w:val="row-content-rich-text"/>
              </w:rPr>
              <w:t xml:space="preserve">Wrap cuff snugly around upper arm, with the centre of the bladder of the cuff positioned over the brachial artery and the lower border of the cuff about 2 cm above the bend of the elbow. </w:t>
            </w:r>
          </w:p>
          <w:p>
            <w:pPr>
              <w:pStyle w:val="ListParagraph"/>
              <w:numPr>
                <w:ilvl w:val="0"/>
                <w:numId w:val="2"/>
              </w:numPr>
            </w:pPr>
            <w:r>
              <w:rPr>
                <w:rStyle w:val="row-content-rich-text"/>
              </w:rPr>
              <w:t xml:space="preserve">Ensure cuff is at heart level, whatever the position of the patient. </w:t>
            </w:r>
          </w:p>
          <w:p>
            <w:pPr>
              <w:pStyle w:val="ListParagraph"/>
              <w:numPr>
                <w:ilvl w:val="0"/>
                <w:numId w:val="2"/>
              </w:numPr>
            </w:pPr>
            <w:r>
              <w:rPr>
                <w:rStyle w:val="row-content-rich-text"/>
              </w:rPr>
              <w:t xml:space="preserve">Palpate the radial pulse of the arm in which the blood pressure is being measured. </w:t>
            </w:r>
          </w:p>
          <w:p>
            <w:pPr>
              <w:pStyle w:val="ListParagraph"/>
              <w:numPr>
                <w:ilvl w:val="0"/>
                <w:numId w:val="2"/>
              </w:numPr>
            </w:pPr>
            <w:r>
              <w:rPr>
                <w:rStyle w:val="row-content-rich-text"/>
              </w:rPr>
              <w:t xml:space="preserve">Inflate cuff to the pressure at which the radial pulse disappears and note this value. Deflate cuff, wait 30 seconds, and then inflate cuff to 30 mm Hg above the pressure at which the radial pulse disappeared. </w:t>
            </w:r>
          </w:p>
          <w:p>
            <w:pPr>
              <w:pStyle w:val="ListParagraph"/>
              <w:numPr>
                <w:ilvl w:val="0"/>
                <w:numId w:val="2"/>
              </w:numPr>
            </w:pPr>
            <w:r>
              <w:rPr>
                <w:rStyle w:val="row-content-rich-text"/>
              </w:rPr>
              <w:t xml:space="preserve">Deflate the cuff at a rate of 2-3 mm Hg/beat (2-3 mm Hg/sec) or less. </w:t>
            </w:r>
          </w:p>
          <w:p>
            <w:pPr>
              <w:pStyle w:val="ListParagraph"/>
              <w:numPr>
                <w:ilvl w:val="0"/>
                <w:numId w:val="2"/>
              </w:numPr>
            </w:pPr>
            <w:r>
              <w:rPr>
                <w:rStyle w:val="row-content-rich-text"/>
              </w:rPr>
              <w:t xml:space="preserve">For recording the systolic reading, use phase I Korotkoff (the first appearance of sound). Wait 30 seconds before repeating the procedure in the same arm. Average the readings. If the first two readings differ by more than 6 mm Hg systolic or if initial readings are high, take several readings after five minutes of quiet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pressure head is the height difference a pressure can raise a fluid's equilibrium level above the surface subjected to pressure. (Blood pressure is usually measured as a head of Mercury, and this is the unit of measure nominated for this metadata item.)</w:t>
            </w:r>
          </w:p>
          <w:p>
            <w:pPr/>
            <w:r>
              <w:rPr>
                <w:rStyle w:val="row-content-rich-text"/>
              </w:rPr>
              <w:t xml:space="preserve">The current (2002) definition of hypertension is based on the level of blood pressure above which treatment is recommended, and this depends on the presence of other risk factors, e.g. age, diabetes etc. (NHF 1999 Guide to Management of Hypertension).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Heart Foundation Blood Pressure Advisory Committee's 'Guidelines for the Management of Hypertension - 1999' which are largely based on World Health Organization Recommendations. (Guidelines Subcommittee of the WHO-SH: 1999 WHO-ISH guidelines for management of hypertension. J Hypertension 1999; 17:151-83).</w:t>
            </w:r>
          </w:p>
          <w:p>
            <w:pPr>
              <w:spacing w:after="160"/>
            </w:pPr>
            <w:r>
              <w:rPr>
                <w:rStyle w:val="row-content-rich-text"/>
              </w:rPr>
              <w:t xml:space="preserve">Australian Bureau of Statistics 1998. National Nutrition Survey User's Guide 1995. Cat. No. 4801.0. Canberra: ABS. (p. 20).</w:t>
            </w:r>
          </w:p>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for the Management of Hypertension - 1999' largely based on World Health Organization Recommendations. (Guidelines Subcommittee of the WHO) J Hypertension 1999; 17: 151-83.).</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UKPDS 38 Tight blood pressure control and risk of macrovascular and microvascular complications in type 2 diabetes: UK Prospective Diabetes Study Group. British Medical Journal (1998); 317: 703-713.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a1a9fca67e40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a1a9fca67e40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ced0e42a2c446e"/>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systolic measured, version 1, DE, NHDD, NHIMG, Superseded 01/03/2005 .pdf</w:t>
              </w:r>
            </w:hyperlink>
          </w:p>
          <w:p>
            <w:r>
              <w:rPr>
                <w:rStyle w:val="row-content"/>
              </w:rPr>
              <w:t xml:space="preserve"> (25.9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0ab4a10a647f1">
              <w:r>
                <w:rPr>
                  <w:rStyle w:val="Hyperlink"/>
                </w:rPr>
                <w:t xml:space="preserve">Acute coronary syndrome (clinical) DSS</w:t>
              </w:r>
            </w:hyperlink>
          </w:p>
          <w:p>
            <w:pPr>
              <w:spacing w:before="0" w:after="0"/>
            </w:pPr>
            <w:r>
              <w:rPr>
                <w:rStyle w:val="row-content"/>
                <w:color w:val="244061"/>
              </w:rPr>
              <w:t xml:space="preserve">       </w:t>
            </w:r>
            <w:hyperlink w:history="true" r:id="Rcd6edf530a504061">
              <w:r>
                <w:rPr>
                  <w:rStyle w:val="Hyperlink"/>
                  <w:color w:val="244061"/>
                </w:rPr>
                <w:t xml:space="preserve">Health</w:t>
              </w:r>
            </w:hyperlink>
            <w:r>
              <w:rPr>
                <w:rStyle w:val="row-content"/>
                <w:color w:val="244061"/>
              </w:rPr>
              <w:t xml:space="preserve">, Superseded 07/12/2005</w:t>
            </w:r>
          </w:p>
          <w:p>
            <w:r>
              <w:br/>
            </w:r>
            <w:hyperlink w:history="true" r:id="Rf71ebff0c7f34cac">
              <w:r>
                <w:rPr>
                  <w:rStyle w:val="Hyperlink"/>
                </w:rPr>
                <w:t xml:space="preserve">Acute coronary syndrome (clinical) DSS</w:t>
              </w:r>
            </w:hyperlink>
          </w:p>
          <w:p>
            <w:pPr>
              <w:spacing w:before="0" w:after="0"/>
            </w:pPr>
            <w:r>
              <w:rPr>
                <w:rStyle w:val="row-content"/>
                <w:color w:val="244061"/>
              </w:rPr>
              <w:t xml:space="preserve">       </w:t>
            </w:r>
            <w:hyperlink w:history="true" r:id="R440058831e464409">
              <w:r>
                <w:rPr>
                  <w:rStyle w:val="Hyperlink"/>
                  <w:color w:val="244061"/>
                </w:rPr>
                <w:t xml:space="preserve">Health</w:t>
              </w:r>
            </w:hyperlink>
            <w:r>
              <w:rPr>
                <w:rStyle w:val="row-content"/>
                <w:color w:val="244061"/>
              </w:rPr>
              <w:t xml:space="preserve">, Superseded 01/10/2008</w:t>
            </w:r>
          </w:p>
          <w:p>
            <w:r>
              <w:br/>
            </w:r>
            <w:hyperlink w:history="true" r:id="R8f92b28057ff4ebc">
              <w:r>
                <w:rPr>
                  <w:rStyle w:val="Hyperlink"/>
                </w:rPr>
                <w:t xml:space="preserve">Cardiovascular disease (clinical) DSS</w:t>
              </w:r>
            </w:hyperlink>
          </w:p>
          <w:p>
            <w:pPr>
              <w:spacing w:before="0" w:after="0"/>
            </w:pPr>
            <w:r>
              <w:rPr>
                <w:rStyle w:val="row-content"/>
                <w:color w:val="244061"/>
              </w:rPr>
              <w:t xml:space="preserve">       </w:t>
            </w:r>
            <w:hyperlink w:history="true" r:id="R1c7a133172ef4514">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77fbc12fe676435d">
              <w:r>
                <w:rPr>
                  <w:rStyle w:val="Hyperlink"/>
                </w:rPr>
                <w:t xml:space="preserve">Cardiovascular disease (clinical) DSS</w:t>
              </w:r>
            </w:hyperlink>
          </w:p>
          <w:p>
            <w:pPr>
              <w:spacing w:before="0" w:after="0"/>
            </w:pPr>
            <w:r>
              <w:rPr>
                <w:rStyle w:val="row-content"/>
                <w:color w:val="244061"/>
              </w:rPr>
              <w:t xml:space="preserve">       </w:t>
            </w:r>
            <w:hyperlink w:history="true" r:id="R30d81fc81a7a4c5b">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d0aea5d8d8e748c1">
              <w:r>
                <w:rPr>
                  <w:rStyle w:val="Hyperlink"/>
                </w:rPr>
                <w:t xml:space="preserve">Cardiovascular disease (clinical) DSS</w:t>
              </w:r>
            </w:hyperlink>
          </w:p>
          <w:p>
            <w:pPr>
              <w:spacing w:before="0" w:after="0"/>
            </w:pPr>
            <w:r>
              <w:rPr>
                <w:rStyle w:val="row-content"/>
                <w:color w:val="244061"/>
              </w:rPr>
              <w:t xml:space="preserve">       </w:t>
            </w:r>
            <w:hyperlink w:history="true" r:id="R322e2b54937041b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bd7bb47d83594626">
              <w:r>
                <w:rPr>
                  <w:rStyle w:val="Hyperlink"/>
                </w:rPr>
                <w:t xml:space="preserve">Cardiovascular disease (clinical) DSS</w:t>
              </w:r>
            </w:hyperlink>
          </w:p>
          <w:p>
            <w:pPr>
              <w:spacing w:before="0" w:after="0"/>
            </w:pPr>
            <w:r>
              <w:rPr>
                <w:rStyle w:val="row-content"/>
                <w:color w:val="244061"/>
              </w:rPr>
              <w:t xml:space="preserve">       </w:t>
            </w:r>
            <w:hyperlink w:history="true" r:id="Rced3c76e3b6645c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eaf5eba51ad74c62">
              <w:r>
                <w:rPr>
                  <w:rStyle w:val="Hyperlink"/>
                </w:rPr>
                <w:t xml:space="preserve">Cardiovascular disease (clinical) NBPDS</w:t>
              </w:r>
            </w:hyperlink>
          </w:p>
          <w:p>
            <w:pPr>
              <w:spacing w:before="0" w:after="0"/>
            </w:pPr>
            <w:r>
              <w:rPr>
                <w:rStyle w:val="row-content"/>
                <w:color w:val="244061"/>
              </w:rPr>
              <w:t xml:space="preserve">       </w:t>
            </w:r>
            <w:hyperlink w:history="true" r:id="R92ff3e6e5dc4466d">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1c5384b40bfe4fb2">
              <w:r>
                <w:rPr>
                  <w:rStyle w:val="Hyperlink"/>
                </w:rPr>
                <w:t xml:space="preserve">Cardiovascular disease (clinical) NBPDS </w:t>
              </w:r>
            </w:hyperlink>
          </w:p>
          <w:p>
            <w:pPr>
              <w:spacing w:before="0" w:after="0"/>
            </w:pPr>
            <w:r>
              <w:rPr>
                <w:rStyle w:val="row-content"/>
                <w:color w:val="244061"/>
              </w:rPr>
              <w:t xml:space="preserve">       </w:t>
            </w:r>
            <w:hyperlink w:history="true" r:id="R86be34332d854710">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a99999d2ec44d85">
              <w:r>
                <w:rPr>
                  <w:rStyle w:val="Hyperlink"/>
                </w:rPr>
                <w:t xml:space="preserve">Diabetes (clinical) DSS</w:t>
              </w:r>
            </w:hyperlink>
          </w:p>
          <w:p>
            <w:pPr>
              <w:spacing w:before="0" w:after="0"/>
            </w:pPr>
            <w:r>
              <w:rPr>
                <w:rStyle w:val="row-content"/>
                <w:color w:val="244061"/>
              </w:rPr>
              <w:t xml:space="preserve">       </w:t>
            </w:r>
            <w:hyperlink w:history="true" r:id="R2a976f97ce9f4ca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br/>
            </w:r>
            <w:r>
              <w:br/>
            </w:r>
            <w:hyperlink w:history="true" r:id="R93088152d70e4e11">
              <w:r>
                <w:rPr>
                  <w:rStyle w:val="Hyperlink"/>
                </w:rPr>
                <w:t xml:space="preserve">Diabetes (clinical) NBPDS</w:t>
              </w:r>
            </w:hyperlink>
          </w:p>
          <w:p>
            <w:pPr>
              <w:spacing w:before="0" w:after="0"/>
            </w:pPr>
            <w:r>
              <w:rPr>
                <w:rStyle w:val="row-content"/>
                <w:color w:val="244061"/>
              </w:rPr>
              <w:t xml:space="preserve">       </w:t>
            </w:r>
            <w:hyperlink w:history="true" r:id="R6fec5f1e61c544a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w:t>
            </w:r>
          </w:p>
          <w:p>
            <w:r>
              <w:br/>
            </w:r>
            <w:r>
              <w:br/>
            </w:r>
          </w:p>
        </w:tc>
      </w:tr>
    </w:tbl>
    <w:p/>
    <w:tbl>
      <w:tblPr>
        <w:tblStyle w:val="TableGrid"/>
        <w:tblW w:w="0" w:type="auto"/>
      </w:tblPr>
    </w:tbl>
    <w:p>
      <w:r>
        <w:br/>
      </w:r>
    </w:p>
    <w:sectPr>
      <w:footerReference xmlns:r="http://schemas.openxmlformats.org/officeDocument/2006/relationships" w:type="default" r:id="R1f29bee4ab63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15f6a3e56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9bee4ab634324" /><Relationship Type="http://schemas.openxmlformats.org/officeDocument/2006/relationships/header" Target="/word/header1.xml" Id="R68114337e8494549" /><Relationship Type="http://schemas.openxmlformats.org/officeDocument/2006/relationships/settings" Target="/word/settings.xml" Id="R80883e11df6f4922" /><Relationship Type="http://schemas.openxmlformats.org/officeDocument/2006/relationships/styles" Target="/word/styles.xml" Id="Re5d7c2e91cc845a3" /><Relationship Type="http://schemas.openxmlformats.org/officeDocument/2006/relationships/hyperlink" Target="https://meteor.aihw.gov.au/RegistrationAuthority/12" TargetMode="External" Id="R129bf54672c24db8" /><Relationship Type="http://schemas.openxmlformats.org/officeDocument/2006/relationships/hyperlink" Target="https://meteor.aihw.gov.au/content/327210" TargetMode="External" Id="R2c135b31cf7f4986" /><Relationship Type="http://schemas.openxmlformats.org/officeDocument/2006/relationships/hyperlink" Target="https://meteor.aihw.gov.au/content/269878" TargetMode="External" Id="Ra3095b02df094c2c" /><Relationship Type="http://schemas.openxmlformats.org/officeDocument/2006/relationships/hyperlink" Target="https://meteor.aihw.gov.au/content/270671" TargetMode="External" Id="Rd868432b89204504" /><Relationship Type="http://schemas.openxmlformats.org/officeDocument/2006/relationships/numbering" Target="/word/numbering.xml" Id="R20344afd10814ef7" /><Relationship Type="http://schemas.openxmlformats.org/officeDocument/2006/relationships/hyperlink" Target="https://meteor.aihw.gov.au/content/273663" TargetMode="External" Id="Rf5a1a9fca67e4001" /><Relationship Type="http://schemas.openxmlformats.org/officeDocument/2006/relationships/image" Target="/media/image.gif" Id="Racced0e42a2c446e" /><Relationship Type="http://schemas.openxmlformats.org/officeDocument/2006/relationships/hyperlink" Target="https://meteor.aihw.gov.au/content/285277" TargetMode="External" Id="R2d90ab4a10a647f1" /><Relationship Type="http://schemas.openxmlformats.org/officeDocument/2006/relationships/hyperlink" Target="https://meteor.aihw.gov.au/RegistrationAuthority/12" TargetMode="External" Id="Rcd6edf530a504061" /><Relationship Type="http://schemas.openxmlformats.org/officeDocument/2006/relationships/hyperlink" Target="https://meteor.aihw.gov.au/content/319741" TargetMode="External" Id="Rf71ebff0c7f34cac" /><Relationship Type="http://schemas.openxmlformats.org/officeDocument/2006/relationships/hyperlink" Target="https://meteor.aihw.gov.au/RegistrationAuthority/12" TargetMode="External" Id="R440058831e464409" /><Relationship Type="http://schemas.openxmlformats.org/officeDocument/2006/relationships/hyperlink" Target="https://meteor.aihw.gov.au/content/273052" TargetMode="External" Id="R8f92b28057ff4ebc" /><Relationship Type="http://schemas.openxmlformats.org/officeDocument/2006/relationships/hyperlink" Target="https://meteor.aihw.gov.au/RegistrationAuthority/12" TargetMode="External" Id="R1c7a133172ef4514" /><Relationship Type="http://schemas.openxmlformats.org/officeDocument/2006/relationships/hyperlink" Target="https://meteor.aihw.gov.au/content/348289" TargetMode="External" Id="R77fbc12fe676435d" /><Relationship Type="http://schemas.openxmlformats.org/officeDocument/2006/relationships/hyperlink" Target="https://meteor.aihw.gov.au/RegistrationAuthority/12" TargetMode="External" Id="R30d81fc81a7a4c5b" /><Relationship Type="http://schemas.openxmlformats.org/officeDocument/2006/relationships/hyperlink" Target="https://meteor.aihw.gov.au/content/353668" TargetMode="External" Id="Rd0aea5d8d8e748c1" /><Relationship Type="http://schemas.openxmlformats.org/officeDocument/2006/relationships/hyperlink" Target="https://meteor.aihw.gov.au/RegistrationAuthority/12" TargetMode="External" Id="R322e2b54937041bb" /><Relationship Type="http://schemas.openxmlformats.org/officeDocument/2006/relationships/hyperlink" Target="https://meteor.aihw.gov.au/content/374213" TargetMode="External" Id="Rbd7bb47d83594626" /><Relationship Type="http://schemas.openxmlformats.org/officeDocument/2006/relationships/hyperlink" Target="https://meteor.aihw.gov.au/RegistrationAuthority/12" TargetMode="External" Id="Rced3c76e3b6645ca" /><Relationship Type="http://schemas.openxmlformats.org/officeDocument/2006/relationships/hyperlink" Target="https://meteor.aihw.gov.au/content/470731" TargetMode="External" Id="Reaf5eba51ad74c62" /><Relationship Type="http://schemas.openxmlformats.org/officeDocument/2006/relationships/hyperlink" Target="https://meteor.aihw.gov.au/RegistrationAuthority/12" TargetMode="External" Id="R92ff3e6e5dc4466d" /><Relationship Type="http://schemas.openxmlformats.org/officeDocument/2006/relationships/hyperlink" Target="https://meteor.aihw.gov.au/content/697668" TargetMode="External" Id="R1c5384b40bfe4fb2" /><Relationship Type="http://schemas.openxmlformats.org/officeDocument/2006/relationships/hyperlink" Target="https://meteor.aihw.gov.au/RegistrationAuthority/12" TargetMode="External" Id="R86be34332d854710" /><Relationship Type="http://schemas.openxmlformats.org/officeDocument/2006/relationships/hyperlink" Target="https://meteor.aihw.gov.au/content/273054" TargetMode="External" Id="R6a99999d2ec44d85" /><Relationship Type="http://schemas.openxmlformats.org/officeDocument/2006/relationships/hyperlink" Target="https://meteor.aihw.gov.au/RegistrationAuthority/12" TargetMode="External" Id="R2a976f97ce9f4ca3" /><Relationship Type="http://schemas.openxmlformats.org/officeDocument/2006/relationships/hyperlink" Target="https://meteor.aihw.gov.au/content/304865" TargetMode="External" Id="R93088152d70e4e11" /><Relationship Type="http://schemas.openxmlformats.org/officeDocument/2006/relationships/hyperlink" Target="https://meteor.aihw.gov.au/RegistrationAuthority/12" TargetMode="External" Id="R6fec5f1e61c544a5" /></Relationships>
</file>

<file path=word/_rels/header1.xml.rels>&#65279;<?xml version="1.0" encoding="utf-8"?><Relationships xmlns="http://schemas.openxmlformats.org/package/2006/relationships"><Relationship Type="http://schemas.openxmlformats.org/officeDocument/2006/relationships/image" Target="/media/image.png" Id="R03415f6a3e564cb2" /></Relationships>
</file>