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3f7557b5ccd460d" /></Relationships>
</file>

<file path=word/document.xml><?xml version="1.0" encoding="utf-8"?>
<w:document xmlns:r="http://schemas.openxmlformats.org/officeDocument/2006/relationships" xmlns:w="http://schemas.openxmlformats.org/wordprocessingml/2006/main">
  <w:body>
    <w:p>
      <w:pPr>
        <w:pStyle w:val="Title"/>
      </w:pPr>
      <w:r>
        <w:t>Person—marital status,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Person—marital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Marital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Marital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270060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84d1c0e6c8d4539">
              <w:r>
                <w:rPr>
                  <w:rStyle w:val="Hyperlink"/>
                  <w:color w:val="244061"/>
                </w:rPr>
                <w:t xml:space="preserve">Health</w:t>
              </w:r>
            </w:hyperlink>
            <w:r>
              <w:rPr>
                <w:rStyle w:val="row-content"/>
                <w:color w:val="244061"/>
              </w:rPr>
              <w:t xml:space="preserve">, Superseded 04/05/2005</w:t>
            </w:r>
          </w:p>
          <w:p>
            <w:pPr>
              <w:spacing w:before="0" w:after="0"/>
            </w:pPr>
            <w:hyperlink w:history="true" r:id="R66a16597c63b4719">
              <w:r>
                <w:rPr>
                  <w:rStyle w:val="Hyperlink"/>
                  <w:color w:val="244061"/>
                </w:rPr>
                <w:t xml:space="preserve">Community Services (retired)</w:t>
              </w:r>
            </w:hyperlink>
            <w:r>
              <w:rPr>
                <w:rStyle w:val="row-content"/>
                <w:color w:val="244061"/>
              </w:rPr>
              <w:t xml:space="preserve">, Superseded 25/08/2005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86c2e92337c64e51">
              <w:r>
                <w:rPr>
                  <w:rStyle w:val="Hyperlink"/>
                </w:rPr>
                <w:t xml:space="preserve">Person—marital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766705746f14f63">
              <w:r>
                <w:rPr>
                  <w:rStyle w:val="Hyperlink"/>
                </w:rPr>
                <w:t xml:space="preserve">Marital status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Never married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Widowed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Divorced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Separated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Married (registered and de facto)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6</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Refers to the current marital status of a person.</w:t>
            </w:r>
          </w:p>
          <w:p>
            <w:pPr>
              <w:spacing w:after="160"/>
            </w:pPr>
            <w:r>
              <w:rPr>
                <w:rStyle w:val="row-content-rich-text"/>
              </w:rPr>
              <w:t xml:space="preserve">CODE 2     Widowed</w:t>
            </w:r>
          </w:p>
          <w:p>
            <w:pPr>
              <w:spacing w:after="160"/>
            </w:pPr>
            <w:r>
              <w:rPr>
                <w:rStyle w:val="row-content-rich-text"/>
              </w:rPr>
              <w:t xml:space="preserve">This code usually refers to registered marriages but when self-reported may also refer to de facto marriages.</w:t>
            </w:r>
          </w:p>
          <w:p>
            <w:pPr>
              <w:spacing w:after="160"/>
            </w:pPr>
            <w:r>
              <w:rPr>
                <w:rStyle w:val="row-content-rich-text"/>
              </w:rPr>
              <w:t xml:space="preserve">CODE 4     Separated</w:t>
            </w:r>
          </w:p>
          <w:p>
            <w:pPr>
              <w:spacing w:after="160"/>
            </w:pPr>
            <w:r>
              <w:rPr>
                <w:rStyle w:val="row-content-rich-text"/>
              </w:rPr>
              <w:t xml:space="preserve">This code refers to registered marriages but when self-reported may also refer to de facto marriages.</w:t>
            </w:r>
          </w:p>
          <w:p>
            <w:pPr>
              <w:spacing w:after="160"/>
            </w:pPr>
            <w:r>
              <w:rPr>
                <w:rStyle w:val="row-content-rich-text"/>
              </w:rPr>
              <w:t xml:space="preserve">CODE 5     Married (registered and de facto)</w:t>
            </w:r>
          </w:p>
          <w:p>
            <w:pPr>
              <w:spacing w:after="160"/>
            </w:pPr>
            <w:r>
              <w:rPr>
                <w:rStyle w:val="row-content-rich-text"/>
              </w:rPr>
              <w:t xml:space="preserve">Includes people who have been divorced or widowed but have since re-married, and should be generally accepted as applicable to all de facto couples, including of the same sex.</w:t>
            </w:r>
          </w:p>
          <w:p>
            <w:pPr>
              <w:spacing w:after="160"/>
            </w:pPr>
            <w:r>
              <w:rPr>
                <w:rStyle w:val="row-content-rich-text"/>
              </w:rPr>
              <w:t xml:space="preserve">CODE 6     Not stated/inadequately described</w:t>
            </w:r>
          </w:p>
          <w:p>
            <w:pPr/>
            <w:r>
              <w:rPr>
                <w:rStyle w:val="row-content-rich-text"/>
              </w:rPr>
              <w:t xml:space="preserve">This code is not for use on primary collection forms. It is primarily for use in administrative collections when transferring data from data sets where the item has not been collected.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The ABS standards for the collection of Social and Registered marital status appear on the ABS Website. </w:t>
            </w:r>
            <w:r>
              <w:rPr>
                <w:rStyle w:val="row-content-rich-text"/>
              </w:rPr>
              <w:t xml:space="preserve">Australian Bureau of Statistics. </w:t>
            </w:r>
            <w:hyperlink w:history="true" r:id="R4dca98c63d424656">
              <w:r>
                <w:rPr>
                  <w:rStyle w:val="Hyperlink"/>
                </w:rPr>
                <w:t xml:space="preserve">Family, household and income unit variables. Cat. no. 1286.0.</w:t>
              </w:r>
            </w:hyperlink>
            <w:r>
              <w:rPr>
                <w:rStyle w:val="row-content-rich-text"/>
              </w:rPr>
              <w:t xml:space="preserve"> Canberra: ABS.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metadata item collects information on social marital status. The recommended question module is:</w:t>
            </w:r>
          </w:p>
          <w:p>
            <w:pPr>
              <w:spacing w:after="160"/>
            </w:pPr>
            <w:r>
              <w:rPr>
                <w:rStyle w:val="row-content-rich-text"/>
              </w:rPr>
              <w:t xml:space="preserve">Do you/Does the person usually live with a partner in a registered or de facto marriage?</w:t>
            </w:r>
          </w:p>
          <w:p>
            <w:pPr>
              <w:spacing w:after="160"/>
            </w:pPr>
            <w:r>
              <w:rPr>
                <w:rStyle w:val="row-content-rich-text"/>
              </w:rPr>
              <w:t xml:space="preserve">Yes, in a registered marriage</w:t>
            </w:r>
          </w:p>
          <w:p>
            <w:pPr>
              <w:spacing w:after="160"/>
            </w:pPr>
            <w:r>
              <w:rPr>
                <w:rStyle w:val="row-content-rich-text"/>
              </w:rPr>
              <w:t xml:space="preserve">Yes, in a defacto marriage</w:t>
            </w:r>
          </w:p>
          <w:p>
            <w:pPr>
              <w:spacing w:after="160"/>
            </w:pPr>
            <w:r>
              <w:rPr>
                <w:rStyle w:val="row-content-rich-text"/>
              </w:rPr>
              <w:t xml:space="preserve">No, never married</w:t>
            </w:r>
          </w:p>
          <w:p>
            <w:pPr>
              <w:spacing w:after="160"/>
            </w:pPr>
            <w:r>
              <w:rPr>
                <w:rStyle w:val="row-content-rich-text"/>
              </w:rPr>
              <w:t xml:space="preserve">No, separated</w:t>
            </w:r>
          </w:p>
          <w:p>
            <w:pPr>
              <w:spacing w:after="160"/>
            </w:pPr>
            <w:r>
              <w:rPr>
                <w:rStyle w:val="row-content-rich-text"/>
              </w:rPr>
              <w:t xml:space="preserve">No, divorced</w:t>
            </w:r>
          </w:p>
          <w:p>
            <w:pPr>
              <w:spacing w:after="160"/>
            </w:pPr>
            <w:r>
              <w:rPr>
                <w:rStyle w:val="row-content-rich-text"/>
              </w:rPr>
              <w:t xml:space="preserve">No, widowed</w:t>
            </w:r>
          </w:p>
          <w:p>
            <w:pPr>
              <w:spacing w:after="160"/>
            </w:pPr>
            <w:r>
              <w:rPr>
                <w:rStyle w:val="row-content-rich-text"/>
              </w:rPr>
              <w:t xml:space="preserve">It should be noted that information on marital status is collected differently by the ABS, using a set of questions. However, the question outlined above is suitable and mostly sufficient for use within the health and community services fields. See below (Source document) for information on how to access the ABS standards.</w:t>
            </w:r>
          </w:p>
          <w:p>
            <w:pPr/>
            <w:r>
              <w:rPr>
                <w:rStyle w:val="row-content-rich-text"/>
              </w:rPr>
              <w:t xml:space="preserve">While agencies are encouraged to use the recommended question described above, it is acknowledged that this is not always possible in practice. For example, where the data collection is a by-product of the provision of a health or community service, the information may be ascertained using different means. However, the recommended question should be used wherever practically possible.</w:t>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ABS standards identify two concepts of marital status:</w:t>
            </w:r>
          </w:p>
          <w:p>
            <w:pPr>
              <w:pStyle w:val="ListParagraph"/>
              <w:numPr>
                <w:ilvl w:val="0"/>
                <w:numId w:val="2"/>
              </w:numPr>
            </w:pPr>
            <w:r>
              <w:rPr>
                <w:rStyle w:val="row-content-rich-text"/>
              </w:rPr>
              <w:t xml:space="preserve">Registered marital status - defined as whether a person has, or has had, a registered marriage; </w:t>
            </w:r>
          </w:p>
          <w:p>
            <w:pPr>
              <w:pStyle w:val="ListParagraph"/>
              <w:numPr>
                <w:ilvl w:val="0"/>
                <w:numId w:val="2"/>
              </w:numPr>
            </w:pPr>
            <w:r>
              <w:rPr>
                <w:rStyle w:val="row-content-rich-text"/>
              </w:rPr>
              <w:t xml:space="preserve">Social marital status - based on a person's living arrangement (including de facto marriages), as reported by the person.</w:t>
            </w:r>
          </w:p>
          <w:p>
            <w:pPr>
              <w:spacing w:after="160"/>
            </w:pPr>
            <w:r>
              <w:rPr>
                <w:rStyle w:val="row-content-rich-text"/>
              </w:rPr>
              <w:t xml:space="preserve">It is recommended that the social marital status concept be collected when information on social support/home arrangements is sought, whereas the registered marital status concept need only be collected where it is specifically required for the purposes of the collection.</w:t>
            </w:r>
          </w:p>
          <w:p>
            <w:pPr/>
            <w:r>
              <w:rPr>
                <w:rStyle w:val="row-content-rich-text"/>
              </w:rPr>
              <w:t xml:space="preserve">While marital status is an important factor in assessing the type and extent of support needs, such as for the elderly living in the home environment, marital status does not adequately address the need for information about social support and living arrangement and other data elements need to be formulated to capture this information.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Health Data Standards Committee</w:t>
            </w:r>
          </w:p>
          <w:p>
            <w:r>
              <w:rPr>
                <w:rStyle w:val="row-content"/>
              </w:rPr>
              <w:t xml:space="preserve">National Community Services Data Committee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92ea0e8ae85c424c">
              <w:r>
                <w:rPr>
                  <w:rStyle w:val="Hyperlink"/>
                </w:rPr>
                <w:t xml:space="preserve">Person—marital status, code N</w:t>
              </w:r>
            </w:hyperlink>
          </w:p>
          <w:p>
            <w:pPr>
              <w:pStyle w:val="registration-status"/>
              <w:spacing w:before="0" w:after="0"/>
            </w:pPr>
            <w:hyperlink w:history="true" r:id="R967c2d56a27649ed">
              <w:r>
                <w:rPr>
                  <w:rStyle w:val="Hyperlink"/>
                  <w:color w:val="244061"/>
                </w:rPr>
                <w:t xml:space="preserve">Community Services (retired)</w:t>
              </w:r>
            </w:hyperlink>
            <w:r>
              <w:rPr>
                <w:rStyle w:val="row-content"/>
                <w:color w:val="244061"/>
              </w:rPr>
              <w:t xml:space="preserve">, Standard 25/08/2005</w:t>
            </w:r>
          </w:p>
          <w:p>
            <w:pPr>
              <w:pStyle w:val="registration-status"/>
              <w:spacing w:before="0" w:after="0"/>
            </w:pPr>
            <w:hyperlink w:history="true" r:id="Radb0f6927ce342e0">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4ede042e7d934fd4">
              <w:r>
                <w:rPr>
                  <w:rStyle w:val="Hyperlink"/>
                  <w:color w:val="244061"/>
                </w:rPr>
                <w:t xml:space="preserve">Health</w:t>
              </w:r>
            </w:hyperlink>
            <w:r>
              <w:rPr>
                <w:rStyle w:val="row-content"/>
                <w:color w:val="244061"/>
              </w:rPr>
              <w:t xml:space="preserve">, Superseded 09/12/2022</w:t>
            </w:r>
          </w:p>
          <w:p>
            <w:pPr>
              <w:pStyle w:val="registration-status"/>
              <w:spacing w:before="0" w:after="0"/>
            </w:pPr>
            <w:hyperlink w:history="true" r:id="Rd75341e977214556">
              <w:r>
                <w:rPr>
                  <w:rStyle w:val="Hyperlink"/>
                  <w:color w:val="244061"/>
                </w:rPr>
                <w:t xml:space="preserve">Housing assistance</w:t>
              </w:r>
            </w:hyperlink>
            <w:r>
              <w:rPr>
                <w:rStyle w:val="row-content"/>
                <w:color w:val="244061"/>
              </w:rPr>
              <w:t xml:space="preserve">, Standard 10/02/2006</w:t>
            </w:r>
          </w:p>
          <w:p>
            <w:pPr>
              <w:pStyle w:val="registration-status"/>
              <w:spacing w:before="0" w:after="0"/>
            </w:pPr>
            <w:hyperlink w:history="true" r:id="Rffbe3149c1e84184">
              <w:r>
                <w:rPr>
                  <w:rStyle w:val="Hyperlink"/>
                  <w:color w:val="244061"/>
                </w:rPr>
                <w:t xml:space="preserve">Independent Hospital Pricing Authority</w:t>
              </w:r>
            </w:hyperlink>
            <w:r>
              <w:rPr>
                <w:rStyle w:val="row-content"/>
                <w:color w:val="244061"/>
              </w:rPr>
              <w:t xml:space="preserve">, Qualified 23/11/2015</w:t>
            </w:r>
          </w:p>
          <w:p>
            <w:r>
              <w:br/>
            </w:r>
            <w:r>
              <w:rPr>
                <w:rStyle w:val="row-content"/>
              </w:rPr>
              <w:t xml:space="preserve">Is re-engineered from </w:t>
            </w:r>
            <w:hyperlink w:history="true" r:id="Rb37116b23a8e48f4">
              <w:r>
                <w:drawing>
                  <wp:inline xmlns:wp="http://schemas.openxmlformats.org/drawingml/2006/wordprocessingDrawing" distT="0" distB="0" distL="0" distR="0">
                    <wp:extent cx="152400" cy="152400"/>
                    <wp:effectExtent l="19050" t="0" r="0" b="0"/>
                    <wp:docPr id="2" name="Picture 2" descr="">
                      <a:hlinkClick xmlns:a="http://schemas.openxmlformats.org/drawingml/2006/main" r:id="Rb37116b23a8e48f4"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aa0cf4a7cd084be9"/>
                            <a:srcRect/>
                            <a:stretch>
                              <a:fillRect/>
                            </a:stretch>
                          </pic:blipFill>
                          <pic:spPr bwMode="auto">
                            <a:xfrm>
                              <a:off x="0" y="0"/>
                              <a:ext cx="152400" cy="152400"/>
                            </a:xfrm>
                            <a:prstGeom prst="rect">
                              <a:avLst/>
                            </a:prstGeom>
                          </pic:spPr>
                        </pic:pic>
                      </a:graphicData>
                    </a:graphic>
                  </wp:inline>
                </w:drawing>
              </w:r>
              <w:r>
                <w:rPr>
                  <w:rStyle w:val="Hyperlink"/>
                </w:rPr>
                <w:t xml:space="preserve"> Marital status, version 4, DE, Int. NCSDD &amp; NHDD, NCSIMG &amp; NHIMG, Superseded 01/03/2005.pdf</w:t>
              </w:r>
            </w:hyperlink>
          </w:p>
          <w:p>
            <w:r>
              <w:rPr>
                <w:rStyle w:val="row-content"/>
              </w:rPr>
              <w:t xml:space="preserve"> (19.8 KB)</w:t>
            </w:r>
          </w:p>
          <w:p>
            <w:pPr>
              <w:pStyle w:val="registration-status"/>
              <w:spacing w:before="0" w:after="0"/>
            </w:pPr>
            <w:r>
              <w:rPr>
                <w:rStyle w:val="row-content"/>
                <w:i/>
                <w:color w:val="244061"/>
              </w:rPr>
              <w:t xml:space="preserve">No registration status</w:t>
            </w:r>
          </w:p>
          <w:p>
            <w:r>
              <w:br/>
            </w:r>
          </w:p>
        </w:tc>
      </w:tr>
    </w:tbl>
    <w:p/>
    <w:tbl>
      <w:tblPr>
        <w:tblStyle w:val="TableGrid"/>
        <w:tblW w:w="0" w:type="auto"/>
      </w:tblPr>
    </w:tbl>
    <w:p>
      <w:r>
        <w:br/>
      </w:r>
    </w:p>
    <w:sectPr>
      <w:footerReference xmlns:r="http://schemas.openxmlformats.org/officeDocument/2006/relationships" w:type="default" r:id="Rdc7cfe694a7f4a2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270060</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cc2f3fc1ed4461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c7cfe694a7f4a29" /><Relationship Type="http://schemas.openxmlformats.org/officeDocument/2006/relationships/header" Target="/word/header1.xml" Id="Rb29e912e59554317" /><Relationship Type="http://schemas.openxmlformats.org/officeDocument/2006/relationships/settings" Target="/word/settings.xml" Id="R54ad547651df45a5" /><Relationship Type="http://schemas.openxmlformats.org/officeDocument/2006/relationships/styles" Target="/word/styles.xml" Id="R40af269fc9384eed" /><Relationship Type="http://schemas.openxmlformats.org/officeDocument/2006/relationships/numbering" Target="/word/numbering.xml" Id="Rff82a46bdfd84258" /><Relationship Type="http://schemas.openxmlformats.org/officeDocument/2006/relationships/image" Target="/media/image.gif" Id="Raa0cf4a7cd084be9" /><Relationship Type="http://schemas.openxmlformats.org/officeDocument/2006/relationships/hyperlink" Target="https://meteor.aihw.gov.au/RegistrationAuthority/12" TargetMode="External" Id="R184d1c0e6c8d4539" /><Relationship Type="http://schemas.openxmlformats.org/officeDocument/2006/relationships/hyperlink" Target="https://meteor.aihw.gov.au/RegistrationAuthority/1" TargetMode="External" Id="R66a16597c63b4719" /><Relationship Type="http://schemas.openxmlformats.org/officeDocument/2006/relationships/hyperlink" Target="https://meteor.aihw.gov.au/content/269533" TargetMode="External" Id="R86c2e92337c64e51" /><Relationship Type="http://schemas.openxmlformats.org/officeDocument/2006/relationships/hyperlink" Target="https://meteor.aihw.gov.au/content/270666" TargetMode="External" Id="R1766705746f14f63" /><Relationship Type="http://schemas.openxmlformats.org/officeDocument/2006/relationships/hyperlink" Target="http://www.abs.gov.au/AUSSTATS/abs@.nsf/allprimarymainfeatures/CF63EA0D2C0016C2CA2572AE00227E7E?opendocument" TargetMode="External" Id="R4dca98c63d424656" /><Relationship Type="http://schemas.openxmlformats.org/officeDocument/2006/relationships/hyperlink" Target="https://meteor.aihw.gov.au/content/291045" TargetMode="External" Id="R92ea0e8ae85c424c" /><Relationship Type="http://schemas.openxmlformats.org/officeDocument/2006/relationships/hyperlink" Target="https://meteor.aihw.gov.au/RegistrationAuthority/1" TargetMode="External" Id="R967c2d56a27649ed" /><Relationship Type="http://schemas.openxmlformats.org/officeDocument/2006/relationships/hyperlink" Target="https://meteor.aihw.gov.au/RegistrationAuthority/16" TargetMode="External" Id="Radb0f6927ce342e0" /><Relationship Type="http://schemas.openxmlformats.org/officeDocument/2006/relationships/hyperlink" Target="https://meteor.aihw.gov.au/RegistrationAuthority/12" TargetMode="External" Id="R4ede042e7d934fd4" /><Relationship Type="http://schemas.openxmlformats.org/officeDocument/2006/relationships/hyperlink" Target="https://meteor.aihw.gov.au/RegistrationAuthority/11" TargetMode="External" Id="Rd75341e977214556" /><Relationship Type="http://schemas.openxmlformats.org/officeDocument/2006/relationships/hyperlink" Target="https://meteor.aihw.gov.au/RegistrationAuthority/3" TargetMode="External" Id="Rffbe3149c1e84184" /><Relationship Type="http://schemas.openxmlformats.org/officeDocument/2006/relationships/hyperlink" Target="https://meteor.aihw.gov.au/content/273953" TargetMode="External" Id="Rb37116b23a8e48f4" /></Relationships>
</file>

<file path=word/_rels/header1.xml.rels>&#65279;<?xml version="1.0" encoding="utf-8"?><Relationships xmlns="http://schemas.openxmlformats.org/package/2006/relationships"><Relationship Type="http://schemas.openxmlformats.org/officeDocument/2006/relationships/image" Target="/media/image.png" Id="Recc2f3fc1ed44610" /></Relationships>
</file>