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b931a2c89148fd" /></Relationships>
</file>

<file path=word/document.xml><?xml version="1.0" encoding="utf-8"?>
<w:document xmlns:r="http://schemas.openxmlformats.org/officeDocument/2006/relationships" xmlns:w="http://schemas.openxmlformats.org/wordprocessingml/2006/main">
  <w:body>
    <w:p>
      <w:pPr>
        <w:pStyle w:val="Title"/>
      </w:pPr>
      <w:r>
        <w:t>Person (employed)—full-time/part-time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6cbbeae644df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eb95cb68d048cc">
              <w:r>
                <w:rPr>
                  <w:rStyle w:val="Hyperlink"/>
                  <w:color w:val="244061"/>
                </w:rPr>
                <w:t xml:space="preserve">Disability</w:t>
              </w:r>
            </w:hyperlink>
            <w:r>
              <w:rPr>
                <w:rStyle w:val="row-content"/>
                <w:color w:val="244061"/>
              </w:rPr>
              <w:t xml:space="preserve">, Standard 13/08/2015</w:t>
            </w:r>
          </w:p>
          <w:p>
            <w:pPr>
              <w:spacing w:before="0" w:after="0"/>
            </w:pPr>
            <w:hyperlink w:history="true" r:id="R4f8964abaa384ad9">
              <w:r>
                <w:rPr>
                  <w:rStyle w:val="Hyperlink"/>
                  <w:color w:val="244061"/>
                </w:rPr>
                <w:t xml:space="preserve">Homelessness</w:t>
              </w:r>
            </w:hyperlink>
            <w:r>
              <w:rPr>
                <w:rStyle w:val="row-content"/>
                <w:color w:val="244061"/>
              </w:rPr>
              <w:t xml:space="preserve">, Superseded 10/08/2018</w:t>
            </w:r>
          </w:p>
          <w:p>
            <w:pPr>
              <w:spacing w:before="0" w:after="0"/>
            </w:pPr>
            <w:hyperlink w:history="true" r:id="Rb516ad8f4125408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61570b6a74926">
              <w:r>
                <w:rPr>
                  <w:rStyle w:val="Hyperlink"/>
                </w:rPr>
                <w:t xml:space="preserve">Person (employed)—full-time/part-time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1785b05bbc40e4">
              <w:r>
                <w:rPr>
                  <w:rStyle w:val="Hyperlink"/>
                </w:rPr>
                <w:t xml:space="preserve">Full-time/part-time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Person—labour force status, code N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Australian Bureau of Statistics website for details regarding labour force data items and standard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Full-Time/Part-Time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e1825889df47a7">
              <w:r>
                <w:rPr>
                  <w:rStyle w:val="Hyperlink"/>
                </w:rPr>
                <w:t xml:space="preserve">Person—full-time/part-time status, code N</w:t>
              </w:r>
            </w:hyperlink>
          </w:p>
          <w:p>
            <w:pPr>
              <w:spacing w:before="0" w:after="0"/>
            </w:pPr>
            <w:r>
              <w:rPr>
                <w:rStyle w:val="row-content"/>
                <w:color w:val="244061"/>
              </w:rPr>
              <w:t xml:space="preserve">       </w:t>
            </w:r>
            <w:hyperlink w:history="true" r:id="R89d1c126545e4e6f">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0beb32a0890b48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eb32a0890b48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e5b576ac6848c6"/>
                            <a:srcRect/>
                            <a:stretch>
                              <a:fillRect/>
                            </a:stretch>
                          </pic:blipFill>
                          <pic:spPr bwMode="auto">
                            <a:xfrm>
                              <a:off x="0" y="0"/>
                              <a:ext cx="152400" cy="152400"/>
                            </a:xfrm>
                            <a:prstGeom prst="rect">
                              <a:avLst/>
                            </a:prstGeom>
                          </pic:spPr>
                        </pic:pic>
                      </a:graphicData>
                    </a:graphic>
                  </wp:inline>
                </w:drawing>
              </w:r>
              <w:r>
                <w:rPr>
                  <w:rStyle w:val="Hyperlink"/>
                </w:rPr>
                <w:t xml:space="preserve"> Employed - working full-time/ part-time, version 2,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8102fc175b477c">
              <w:r>
                <w:rPr>
                  <w:rStyle w:val="Hyperlink"/>
                </w:rPr>
                <w:t xml:space="preserve">Disability services carer details cluster</w:t>
              </w:r>
            </w:hyperlink>
          </w:p>
          <w:p>
            <w:pPr>
              <w:spacing w:before="0" w:after="0"/>
            </w:pPr>
            <w:r>
              <w:rPr>
                <w:rStyle w:val="row-content"/>
                <w:color w:val="244061"/>
              </w:rPr>
              <w:t xml:space="preserve">       </w:t>
            </w:r>
            <w:hyperlink w:history="true" r:id="Rcec0affeeafd4d7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79136a472b64e06">
              <w:r>
                <w:rPr>
                  <w:rStyle w:val="Hyperlink"/>
                  <w:color w:val="244061"/>
                </w:rPr>
                <w:t xml:space="preserve">Disability</w:t>
              </w:r>
            </w:hyperlink>
            <w:r>
              <w:rPr>
                <w:rStyle w:val="row-content"/>
                <w:color w:val="244061"/>
              </w:rPr>
              <w:t xml:space="preserve">, Standard 13/08/2015</w:t>
            </w:r>
          </w:p>
          <w:p>
            <w:r>
              <w:br/>
            </w:r>
            <w:hyperlink w:history="true" r:id="Rc812559abc844967">
              <w:r>
                <w:rPr>
                  <w:rStyle w:val="Hyperlink"/>
                </w:rPr>
                <w:t xml:space="preserve">Disability services client details cluster</w:t>
              </w:r>
            </w:hyperlink>
          </w:p>
          <w:p>
            <w:pPr>
              <w:spacing w:before="0" w:after="0"/>
            </w:pPr>
            <w:r>
              <w:rPr>
                <w:rStyle w:val="row-content"/>
                <w:color w:val="244061"/>
              </w:rPr>
              <w:t xml:space="preserve">       </w:t>
            </w:r>
            <w:hyperlink w:history="true" r:id="R52b55ec8fd114ce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137654ad8d24109">
              <w:r>
                <w:rPr>
                  <w:rStyle w:val="Hyperlink"/>
                  <w:color w:val="244061"/>
                </w:rPr>
                <w:t xml:space="preserve">Disability</w:t>
              </w:r>
            </w:hyperlink>
            <w:r>
              <w:rPr>
                <w:rStyle w:val="row-content"/>
                <w:color w:val="244061"/>
              </w:rPr>
              <w:t xml:space="preserve">, Standard 13/08/2015</w:t>
            </w:r>
          </w:p>
          <w:p>
            <w:r>
              <w:br/>
            </w:r>
            <w:hyperlink w:history="true" r:id="R85a3b58752ec426f">
              <w:r>
                <w:rPr>
                  <w:rStyle w:val="Hyperlink"/>
                </w:rPr>
                <w:t xml:space="preserve">SAAP Client Collection National Minimum Data Set</w:t>
              </w:r>
            </w:hyperlink>
          </w:p>
          <w:p>
            <w:pPr>
              <w:spacing w:before="0" w:after="0"/>
            </w:pPr>
            <w:r>
              <w:rPr>
                <w:rStyle w:val="row-content"/>
                <w:color w:val="244061"/>
              </w:rPr>
              <w:t xml:space="preserve">       </w:t>
            </w:r>
            <w:hyperlink w:history="true" r:id="R7e5ab8810577414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is collected a minimum of twice (for the client):</w:t>
            </w:r>
            <w:r>
              <w:br/>
            </w:r>
            <w:r>
              <w:rPr>
                <w:rStyle w:val="row-content"/>
              </w:rPr>
              <w:t xml:space="preserve">• the client's full-time/part-time status immediately before the support period starts; and</w:t>
            </w:r>
            <w:r>
              <w:br/>
            </w:r>
            <w:r>
              <w:rPr>
                <w:rStyle w:val="row-content"/>
              </w:rPr>
              <w:t xml:space="preserve">• the client's full-time/part-time status immediately after the support period ends.</w:t>
            </w:r>
            <w:r>
              <w:br/>
            </w:r>
            <w:r>
              <w:rPr>
                <w:rStyle w:val="row-content"/>
              </w:rPr>
              <w:t xml:space="preserve">Only one permissible value is selected in each case.</w:t>
            </w:r>
            <w:r>
              <w:br/>
            </w:r>
            <w:r>
              <w:br/>
            </w:r>
            <w:hyperlink w:history="true" r:id="R4c972c2539774505">
              <w:r>
                <w:rPr>
                  <w:rStyle w:val="Hyperlink"/>
                </w:rPr>
                <w:t xml:space="preserve">Specialist Homelessness Services NMDS 2011</w:t>
              </w:r>
            </w:hyperlink>
          </w:p>
          <w:p>
            <w:pPr>
              <w:spacing w:before="0" w:after="0"/>
            </w:pPr>
            <w:r>
              <w:rPr>
                <w:rStyle w:val="row-content"/>
                <w:color w:val="244061"/>
              </w:rPr>
              <w:t xml:space="preserve">       </w:t>
            </w:r>
            <w:hyperlink w:history="true" r:id="Rfe3615c7fb804f3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3f178aa9fd540e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8ee7831ded6f46bc">
              <w:r>
                <w:rPr>
                  <w:rStyle w:val="Hyperlink"/>
                </w:rPr>
                <w:t xml:space="preserve">Specialist Homelessness Services NMDS 2012-13</w:t>
              </w:r>
            </w:hyperlink>
          </w:p>
          <w:p>
            <w:pPr>
              <w:spacing w:before="0" w:after="0"/>
            </w:pPr>
            <w:r>
              <w:rPr>
                <w:rStyle w:val="row-content"/>
                <w:color w:val="244061"/>
              </w:rPr>
              <w:t xml:space="preserve">       </w:t>
            </w:r>
            <w:hyperlink w:history="true" r:id="R39d3b7cda4ec43a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296f658e3cb4c7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819b4df8b6a24f07">
              <w:r>
                <w:rPr>
                  <w:rStyle w:val="Hyperlink"/>
                </w:rPr>
                <w:t xml:space="preserve">Specialist Homelessness Services NMDS 2013-14</w:t>
              </w:r>
            </w:hyperlink>
          </w:p>
          <w:p>
            <w:pPr>
              <w:spacing w:before="0" w:after="0"/>
            </w:pPr>
            <w:r>
              <w:rPr>
                <w:rStyle w:val="row-content"/>
                <w:color w:val="244061"/>
              </w:rPr>
              <w:t xml:space="preserve">       </w:t>
            </w:r>
            <w:hyperlink w:history="true" r:id="Rfe882464067242a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fc739f3c8e74ff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d0673b499aec4231">
              <w:r>
                <w:rPr>
                  <w:rStyle w:val="Hyperlink"/>
                </w:rPr>
                <w:t xml:space="preserve">Specialist Homelessness Services NMDS 2014-15</w:t>
              </w:r>
            </w:hyperlink>
          </w:p>
          <w:p>
            <w:pPr>
              <w:spacing w:before="0" w:after="0"/>
            </w:pPr>
            <w:r>
              <w:rPr>
                <w:rStyle w:val="row-content"/>
                <w:color w:val="244061"/>
              </w:rPr>
              <w:t xml:space="preserve">       </w:t>
            </w:r>
            <w:hyperlink w:history="true" r:id="R972e9a4b3192416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4844e8caeed423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7daa22a4d6a6416a">
              <w:r>
                <w:rPr>
                  <w:rStyle w:val="Hyperlink"/>
                </w:rPr>
                <w:t xml:space="preserve">Specialist Homelessness Services NMDS 2015-17</w:t>
              </w:r>
            </w:hyperlink>
          </w:p>
          <w:p>
            <w:pPr>
              <w:spacing w:before="0" w:after="0"/>
            </w:pPr>
            <w:r>
              <w:rPr>
                <w:rStyle w:val="row-content"/>
                <w:color w:val="244061"/>
              </w:rPr>
              <w:t xml:space="preserve">       </w:t>
            </w:r>
            <w:hyperlink w:history="true" r:id="R78889efa447e45f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SHS NMDS, this item is only asked of clients. This item is conditional on a response of Employed (CODE 1) in the data element </w:t>
            </w:r>
            <w:r>
              <w:rPr>
                <w:rStyle w:val="row-content"/>
                <w:i/>
              </w:rPr>
              <w:t xml:space="preserve">Person—labour force status, code N.</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hyperlink w:history="true" r:id="R447af5dc4784441c">
              <w:r>
                <w:rPr>
                  <w:rStyle w:val="Hyperlink"/>
                </w:rPr>
                <w:t xml:space="preserve">Specialist Homelessness Services NMDS 2017-19</w:t>
              </w:r>
            </w:hyperlink>
          </w:p>
          <w:p>
            <w:pPr>
              <w:spacing w:before="0" w:after="0"/>
            </w:pPr>
            <w:r>
              <w:rPr>
                <w:rStyle w:val="row-content"/>
                <w:color w:val="244061"/>
              </w:rPr>
              <w:t xml:space="preserve">       </w:t>
            </w:r>
            <w:hyperlink w:history="true" r:id="R0be985e688f6490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fd3329621ca94e3c">
              <w:r>
                <w:rPr>
                  <w:rStyle w:val="Hyperlink"/>
                </w:rPr>
                <w:t xml:space="preserve">Person—labour force status,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489aaba938334f72">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f344c1c951284797">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9e9a99439043422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3),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e4b30cdcc104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f2c56cbe9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30cdcc10444d4" /><Relationship Type="http://schemas.openxmlformats.org/officeDocument/2006/relationships/header" Target="/word/header1.xml" Id="R86f52f2ec26e4ee9" /><Relationship Type="http://schemas.openxmlformats.org/officeDocument/2006/relationships/settings" Target="/word/settings.xml" Id="R72bcb9a9efed4d91" /><Relationship Type="http://schemas.openxmlformats.org/officeDocument/2006/relationships/styles" Target="/word/styles.xml" Id="R564dcbeaf37247d8" /><Relationship Type="http://schemas.openxmlformats.org/officeDocument/2006/relationships/hyperlink" Target="https://meteor.aihw.gov.au/RegistrationAuthority/1" TargetMode="External" Id="R9386cbbeae644dfa" /><Relationship Type="http://schemas.openxmlformats.org/officeDocument/2006/relationships/hyperlink" Target="https://meteor.aihw.gov.au/RegistrationAuthority/16" TargetMode="External" Id="Rcdeb95cb68d048cc" /><Relationship Type="http://schemas.openxmlformats.org/officeDocument/2006/relationships/hyperlink" Target="https://meteor.aihw.gov.au/RegistrationAuthority/14" TargetMode="External" Id="R4f8964abaa384ad9" /><Relationship Type="http://schemas.openxmlformats.org/officeDocument/2006/relationships/hyperlink" Target="https://meteor.aihw.gov.au/RegistrationAuthority/11" TargetMode="External" Id="Rb516ad8f41254088" /><Relationship Type="http://schemas.openxmlformats.org/officeDocument/2006/relationships/hyperlink" Target="https://meteor.aihw.gov.au/content/318678" TargetMode="External" Id="Ra9861570b6a74926" /><Relationship Type="http://schemas.openxmlformats.org/officeDocument/2006/relationships/hyperlink" Target="https://meteor.aihw.gov.au/content/270626" TargetMode="External" Id="Rf81785b05bbc40e4" /><Relationship Type="http://schemas.openxmlformats.org/officeDocument/2006/relationships/hyperlink" Target="https://meteor.aihw.gov.au/content/691891" TargetMode="External" Id="R63e1825889df47a7" /><Relationship Type="http://schemas.openxmlformats.org/officeDocument/2006/relationships/hyperlink" Target="https://meteor.aihw.gov.au/RegistrationAuthority/14" TargetMode="External" Id="R89d1c126545e4e6f" /><Relationship Type="http://schemas.openxmlformats.org/officeDocument/2006/relationships/hyperlink" Target="https://meteor.aihw.gov.au/content/273927" TargetMode="External" Id="R0beb32a0890b4824" /><Relationship Type="http://schemas.openxmlformats.org/officeDocument/2006/relationships/image" Target="/media/image.gif" Id="Rb9e5b576ac6848c6" /><Relationship Type="http://schemas.openxmlformats.org/officeDocument/2006/relationships/hyperlink" Target="https://meteor.aihw.gov.au/content/484552" TargetMode="External" Id="Ra78102fc175b477c" /><Relationship Type="http://schemas.openxmlformats.org/officeDocument/2006/relationships/hyperlink" Target="https://meteor.aihw.gov.au/RegistrationAuthority/1" TargetMode="External" Id="Rcec0affeeafd4d78" /><Relationship Type="http://schemas.openxmlformats.org/officeDocument/2006/relationships/hyperlink" Target="https://meteor.aihw.gov.au/RegistrationAuthority/16" TargetMode="External" Id="R579136a472b64e06" /><Relationship Type="http://schemas.openxmlformats.org/officeDocument/2006/relationships/hyperlink" Target="https://meteor.aihw.gov.au/content/484543" TargetMode="External" Id="Rc812559abc844967" /><Relationship Type="http://schemas.openxmlformats.org/officeDocument/2006/relationships/hyperlink" Target="https://meteor.aihw.gov.au/RegistrationAuthority/1" TargetMode="External" Id="R52b55ec8fd114cef" /><Relationship Type="http://schemas.openxmlformats.org/officeDocument/2006/relationships/hyperlink" Target="https://meteor.aihw.gov.au/RegistrationAuthority/16" TargetMode="External" Id="Rf137654ad8d24109" /><Relationship Type="http://schemas.openxmlformats.org/officeDocument/2006/relationships/hyperlink" Target="https://meteor.aihw.gov.au/content/339019" TargetMode="External" Id="R85a3b58752ec426f" /><Relationship Type="http://schemas.openxmlformats.org/officeDocument/2006/relationships/hyperlink" Target="https://meteor.aihw.gov.au/RegistrationAuthority/1" TargetMode="External" Id="R7e5ab88105774141" /><Relationship Type="http://schemas.openxmlformats.org/officeDocument/2006/relationships/hyperlink" Target="https://meteor.aihw.gov.au/content/398238" TargetMode="External" Id="R4c972c2539774505" /><Relationship Type="http://schemas.openxmlformats.org/officeDocument/2006/relationships/hyperlink" Target="https://meteor.aihw.gov.au/RegistrationAuthority/14" TargetMode="External" Id="Rfe3615c7fb804f38" /><Relationship Type="http://schemas.openxmlformats.org/officeDocument/2006/relationships/hyperlink" Target="https://meteor.aihw.gov.au/RegistrationAuthority/11" TargetMode="External" Id="Rb3f178aa9fd540e6" /><Relationship Type="http://schemas.openxmlformats.org/officeDocument/2006/relationships/numbering" Target="/word/numbering.xml" Id="Recc0368c94d5412d" /><Relationship Type="http://schemas.openxmlformats.org/officeDocument/2006/relationships/hyperlink" Target="https://meteor.aihw.gov.au/content/508954" TargetMode="External" Id="R8ee7831ded6f46bc" /><Relationship Type="http://schemas.openxmlformats.org/officeDocument/2006/relationships/hyperlink" Target="https://meteor.aihw.gov.au/RegistrationAuthority/14" TargetMode="External" Id="R39d3b7cda4ec43a5" /><Relationship Type="http://schemas.openxmlformats.org/officeDocument/2006/relationships/hyperlink" Target="https://meteor.aihw.gov.au/RegistrationAuthority/11" TargetMode="External" Id="R6296f658e3cb4c78" /><Relationship Type="http://schemas.openxmlformats.org/officeDocument/2006/relationships/hyperlink" Target="https://meteor.aihw.gov.au/content/505626" TargetMode="External" Id="R819b4df8b6a24f07" /><Relationship Type="http://schemas.openxmlformats.org/officeDocument/2006/relationships/hyperlink" Target="https://meteor.aihw.gov.au/RegistrationAuthority/14" TargetMode="External" Id="Rfe882464067242a7" /><Relationship Type="http://schemas.openxmlformats.org/officeDocument/2006/relationships/hyperlink" Target="https://meteor.aihw.gov.au/RegistrationAuthority/11" TargetMode="External" Id="R4fc739f3c8e74ff8" /><Relationship Type="http://schemas.openxmlformats.org/officeDocument/2006/relationships/hyperlink" Target="https://meteor.aihw.gov.au/content/581255" TargetMode="External" Id="Rd0673b499aec4231" /><Relationship Type="http://schemas.openxmlformats.org/officeDocument/2006/relationships/hyperlink" Target="https://meteor.aihw.gov.au/RegistrationAuthority/14" TargetMode="External" Id="R972e9a4b31924168" /><Relationship Type="http://schemas.openxmlformats.org/officeDocument/2006/relationships/hyperlink" Target="https://meteor.aihw.gov.au/RegistrationAuthority/11" TargetMode="External" Id="R94844e8caeed4236" /><Relationship Type="http://schemas.openxmlformats.org/officeDocument/2006/relationships/hyperlink" Target="https://meteor.aihw.gov.au/content/658005" TargetMode="External" Id="R7daa22a4d6a6416a" /><Relationship Type="http://schemas.openxmlformats.org/officeDocument/2006/relationships/hyperlink" Target="https://meteor.aihw.gov.au/RegistrationAuthority/14" TargetMode="External" Id="R78889efa447e45fe" /><Relationship Type="http://schemas.openxmlformats.org/officeDocument/2006/relationships/hyperlink" Target="https://meteor.aihw.gov.au/content/650006" TargetMode="External" Id="R447af5dc4784441c" /><Relationship Type="http://schemas.openxmlformats.org/officeDocument/2006/relationships/hyperlink" Target="https://meteor.aihw.gov.au/RegistrationAuthority/14" TargetMode="External" Id="R0be985e688f64907" /><Relationship Type="http://schemas.openxmlformats.org/officeDocument/2006/relationships/hyperlink" Target="https://meteor.aihw.gov.au/content/270112" TargetMode="External" Id="Rfd3329621ca94e3c" /><Relationship Type="http://schemas.openxmlformats.org/officeDocument/2006/relationships/hyperlink" Target="https://meteor.aihw.gov.au/content/338558" TargetMode="External" Id="R489aaba938334f72" /><Relationship Type="http://schemas.openxmlformats.org/officeDocument/2006/relationships/hyperlink" Target="https://meteor.aihw.gov.au/content/323253" TargetMode="External" Id="Rf344c1c951284797" /><Relationship Type="http://schemas.openxmlformats.org/officeDocument/2006/relationships/hyperlink" Target="https://meteor.aihw.gov.au/content/270160" TargetMode="External" Id="R9e9a994390434225" /></Relationships>
</file>

<file path=word/_rels/header1.xml.rels>&#65279;<?xml version="1.0" encoding="utf-8"?><Relationships xmlns="http://schemas.openxmlformats.org/package/2006/relationships"><Relationship Type="http://schemas.openxmlformats.org/officeDocument/2006/relationships/image" Target="/media/image.png" Id="Rc23f2c56cbe94f78" /></Relationships>
</file>