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b13ac2c5fa4b8d"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dc1c64c7f481a">
              <w:r>
                <w:rPr>
                  <w:rStyle w:val="Hyperlink"/>
                  <w:color w:val="244061"/>
                </w:rPr>
                <w:t xml:space="preserve">Health</w:t>
              </w:r>
            </w:hyperlink>
            <w:r>
              <w:rPr>
                <w:rStyle w:val="row-content"/>
                <w:color w:val="244061"/>
              </w:rPr>
              <w:t xml:space="preserve">, Standard 01/03/2005</w:t>
            </w:r>
          </w:p>
          <w:p>
            <w:pPr>
              <w:spacing w:before="0" w:after="0"/>
            </w:pPr>
            <w:hyperlink w:history="true" r:id="Re9c64d0ed38447d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ae680686a24cf7">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212c6c5dd7498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d20bb898a54aa5">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5595d3cbd240f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b9be7df66b4f59">
              <w:r>
                <w:rPr>
                  <w:rStyle w:val="Hyperlink"/>
                </w:rPr>
                <w:t xml:space="preserve">Contracted hospital care—organisation identifier, NNX[X]NNNNN</w:t>
              </w:r>
            </w:hyperlink>
          </w:p>
          <w:p>
            <w:pPr>
              <w:spacing w:before="0" w:after="0"/>
            </w:pPr>
            <w:r>
              <w:rPr>
                <w:rStyle w:val="row-content"/>
                <w:color w:val="244061"/>
              </w:rPr>
              <w:t xml:space="preserve">       </w:t>
            </w:r>
            <w:hyperlink w:history="true" r:id="R075572c375ab449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ba5677c5bc04fef">
              <w:r>
                <w:rPr>
                  <w:rStyle w:val="Hyperlink"/>
                  <w:color w:val="244061"/>
                </w:rPr>
                <w:t xml:space="preserve">National Health Performance Authority (retired)</w:t>
              </w:r>
            </w:hyperlink>
            <w:r>
              <w:rPr>
                <w:rStyle w:val="row-content"/>
                <w:color w:val="244061"/>
              </w:rPr>
              <w:t xml:space="preserve">, Retired 01/07/2016</w:t>
            </w:r>
          </w:p>
          <w:p>
            <w:r>
              <w:br/>
            </w:r>
            <w:hyperlink w:history="true" r:id="R48a18f845d0944c8">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1cbd6cf805d74f29">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bedde881b5cf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0856175b0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de881b5cf4343" /><Relationship Type="http://schemas.openxmlformats.org/officeDocument/2006/relationships/header" Target="/word/header1.xml" Id="R3d31e8ba4f6a4692" /><Relationship Type="http://schemas.openxmlformats.org/officeDocument/2006/relationships/settings" Target="/word/settings.xml" Id="R978f913c40b74b7c" /><Relationship Type="http://schemas.openxmlformats.org/officeDocument/2006/relationships/styles" Target="/word/styles.xml" Id="Rf9a6f02546c94cb5" /><Relationship Type="http://schemas.openxmlformats.org/officeDocument/2006/relationships/hyperlink" Target="https://meteor.aihw.gov.au/RegistrationAuthority/12" TargetMode="External" Id="R433dc1c64c7f481a" /><Relationship Type="http://schemas.openxmlformats.org/officeDocument/2006/relationships/hyperlink" Target="https://meteor.aihw.gov.au/RegistrationAuthority/8" TargetMode="External" Id="Re9c64d0ed38447d2" /><Relationship Type="http://schemas.openxmlformats.org/officeDocument/2006/relationships/hyperlink" Target="https://meteor.aihw.gov.au/content/268981" TargetMode="External" Id="R87ae680686a24cf7" /><Relationship Type="http://schemas.openxmlformats.org/officeDocument/2006/relationships/hyperlink" Target="https://meteor.aihw.gov.au/content/281121" TargetMode="External" Id="R1d212c6c5dd74987" /><Relationship Type="http://schemas.openxmlformats.org/officeDocument/2006/relationships/numbering" Target="/word/numbering.xml" Id="R63b3964ac9fb4a2e" /><Relationship Type="http://schemas.openxmlformats.org/officeDocument/2006/relationships/hyperlink" Target="https://meteor.aihw.gov.au/content/269367" TargetMode="External" Id="Rf4d20bb898a54aa5" /><Relationship Type="http://schemas.openxmlformats.org/officeDocument/2006/relationships/hyperlink" Target="https://meteor.aihw.gov.au/content/274649" TargetMode="External" Id="R5f5595d3cbd240fb" /><Relationship Type="http://schemas.openxmlformats.org/officeDocument/2006/relationships/hyperlink" Target="https://meteor.aihw.gov.au/content/270013" TargetMode="External" Id="R2ab9be7df66b4f59" /><Relationship Type="http://schemas.openxmlformats.org/officeDocument/2006/relationships/hyperlink" Target="https://meteor.aihw.gov.au/RegistrationAuthority/12" TargetMode="External" Id="R075572c375ab4496" /><Relationship Type="http://schemas.openxmlformats.org/officeDocument/2006/relationships/hyperlink" Target="https://meteor.aihw.gov.au/RegistrationAuthority/8" TargetMode="External" Id="R0ba5677c5bc04fef" /><Relationship Type="http://schemas.openxmlformats.org/officeDocument/2006/relationships/hyperlink" Target="https://meteor.aihw.gov.au/content/782100" TargetMode="External" Id="R48a18f845d0944c8" /><Relationship Type="http://schemas.openxmlformats.org/officeDocument/2006/relationships/hyperlink" Target="https://meteor.aihw.gov.au/RegistrationAuthority/12" TargetMode="External" Id="R1cbd6cf805d74f29" /></Relationships>
</file>

<file path=word/_rels/header1.xml.rels>&#65279;<?xml version="1.0" encoding="utf-8"?><Relationships xmlns="http://schemas.openxmlformats.org/package/2006/relationships"><Relationship Type="http://schemas.openxmlformats.org/officeDocument/2006/relationships/image" Target="/media/image.png" Id="R9a00856175b047b5" /></Relationships>
</file>