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fc4eb159c479f" /></Relationships>
</file>

<file path=word/document.xml><?xml version="1.0" encoding="utf-8"?>
<w:document xmlns:r="http://schemas.openxmlformats.org/officeDocument/2006/relationships" xmlns:w="http://schemas.openxmlformats.org/wordprocessingml/2006/main">
  <w:body>
    <w:p>
      <w:pPr>
        <w:pStyle w:val="Title"/>
      </w:pPr>
      <w:r>
        <w:t>Non-admitted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64b18586545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does not undergo a hospital's formal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005d623297f4594">
              <w:r>
                <w:rPr>
                  <w:rStyle w:val="Hyperlink"/>
                  <w:b/>
                </w:rPr>
                <w:t xml:space="preserve">admission</w:t>
              </w:r>
            </w:hyperlink>
            <w:r>
              <w:rPr>
                <w:rStyle w:val="row-content-rich-text"/>
              </w:rPr>
              <w:t xml:space="preserve"> process.</w:t>
            </w:r>
          </w:p>
          <w:p>
            <w:pPr>
              <w:spacing w:after="160"/>
            </w:pPr>
            <w:r>
              <w:rPr>
                <w:rStyle w:val="row-content-rich-text"/>
              </w:rPr>
              <w:t xml:space="preserve">There are three categories of non-admitted patient:</w:t>
            </w:r>
          </w:p>
          <w:p>
            <w:pPr>
              <w:pStyle w:val="ListParagraph"/>
              <w:numPr>
                <w:ilvl w:val="0"/>
                <w:numId w:val="2"/>
              </w:numPr>
            </w:pPr>
            <w:r>
              <w:rPr>
                <w:rStyle w:val="row-content-rich-text"/>
              </w:rPr>
              <w:t xml:space="preserve">emergency department patient</w:t>
            </w:r>
          </w:p>
          <w:p>
            <w:pPr>
              <w:pStyle w:val="ListParagraph"/>
              <w:numPr>
                <w:ilvl w:val="0"/>
                <w:numId w:val="2"/>
              </w:numPr>
            </w:pPr>
            <w:r>
              <w:rPr>
                <w:rStyle w:val="row-content-rich-text"/>
              </w:rPr>
              <w:t xml:space="preserve">outpatient</w:t>
            </w:r>
          </w:p>
          <w:p>
            <w:pPr>
              <w:pStyle w:val="ListParagraph"/>
              <w:numPr>
                <w:ilvl w:val="0"/>
                <w:numId w:val="2"/>
              </w:numPr>
            </w:pPr>
            <w:r>
              <w:rPr>
                <w:rStyle w:val="row-content-rich-text"/>
              </w:rPr>
              <w:t xml:space="preserve">other non-admitted patient (treated by hospital employees off the hospital site - includes community /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ae55b96dbf4a22">
              <w:r>
                <w:rPr>
                  <w:rStyle w:val="Hyperlink"/>
                </w:rPr>
                <w:t xml:space="preserve">Person/group of persons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cb9851bae8f4d01">
              <w:r>
                <w:drawing>
                  <wp:inline xmlns:wp="http://schemas.openxmlformats.org/drawingml/2006/wordprocessingDrawing" distT="0" distB="0" distL="0" distR="0">
                    <wp:extent cx="152400" cy="152400"/>
                    <wp:effectExtent l="19050" t="0" r="0" b="0"/>
                    <wp:docPr id="2" name="Picture 2" descr="">
                      <a:hlinkClick xmlns:a="http://schemas.openxmlformats.org/drawingml/2006/main" r:id="Rdcb9851bae8f4d0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2acbda09d4b4d8c"/>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version 1, DEC, NHDD, NHIMG, Superseded 01/03/2005.pdf</w:t>
              </w:r>
            </w:hyperlink>
          </w:p>
          <w:p>
            <w:r>
              <w:rPr>
                <w:rStyle w:val="row-content"/>
              </w:rPr>
              <w:t xml:space="preserve"> (11.9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787fd7622c0945b3">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78716f6b43dd4e17">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b7ff3eeea3b444cc">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16ca891ecdd64f94">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8496ac453ab542b9">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be607ee563514de7">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1e9d87f587c644d9">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2d915a2147664918">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7538e6fed59641c0">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56d03289c7a14e4e">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f18a1306d2ce4dc0">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c894e163dcaf47bd">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d04e5cd3b18e40cc">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fbca14b602d1422b">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1222c7674dcb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30082db894d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22c7674dcb4187" /><Relationship Type="http://schemas.openxmlformats.org/officeDocument/2006/relationships/header" Target="/word/header1.xml" Id="R41a549ccb4c54462" /><Relationship Type="http://schemas.openxmlformats.org/officeDocument/2006/relationships/settings" Target="/word/settings.xml" Id="R6d2ca80548ad4bd3" /><Relationship Type="http://schemas.openxmlformats.org/officeDocument/2006/relationships/styles" Target="/word/styles.xml" Id="R4a8078492d8a4cb4" /><Relationship Type="http://schemas.openxmlformats.org/officeDocument/2006/relationships/hyperlink" Target="https://meteor.aihw.gov.au/RegistrationAuthority/12" TargetMode="External" Id="R93964b1858654559" /><Relationship Type="http://schemas.openxmlformats.org/officeDocument/2006/relationships/hyperlink" Target="https://meteor.aihw.gov.au/content/327206" TargetMode="External" Id="R5005d623297f4594" /><Relationship Type="http://schemas.openxmlformats.org/officeDocument/2006/relationships/numbering" Target="/word/numbering.xml" Id="R9f89b52737704ad5" /><Relationship Type="http://schemas.openxmlformats.org/officeDocument/2006/relationships/hyperlink" Target="https://meteor.aihw.gov.au/content/281123" TargetMode="External" Id="R7fae55b96dbf4a22" /><Relationship Type="http://schemas.openxmlformats.org/officeDocument/2006/relationships/hyperlink" Target="https://meteor.aihw.gov.au/content/273085" TargetMode="External" Id="Rdcb9851bae8f4d01" /><Relationship Type="http://schemas.openxmlformats.org/officeDocument/2006/relationships/image" Target="/media/image.gif" Id="R92acbda09d4b4d8c" /><Relationship Type="http://schemas.openxmlformats.org/officeDocument/2006/relationships/hyperlink" Target="https://meteor.aihw.gov.au/content/585164" TargetMode="External" Id="R787fd7622c0945b3" /><Relationship Type="http://schemas.openxmlformats.org/officeDocument/2006/relationships/hyperlink" Target="https://meteor.aihw.gov.au/RegistrationAuthority/12" TargetMode="External" Id="R78716f6b43dd4e17" /><Relationship Type="http://schemas.openxmlformats.org/officeDocument/2006/relationships/hyperlink" Target="https://meteor.aihw.gov.au/content/751492" TargetMode="External" Id="Rb7ff3eeea3b444cc" /><Relationship Type="http://schemas.openxmlformats.org/officeDocument/2006/relationships/hyperlink" Target="https://meteor.aihw.gov.au/RegistrationAuthority/12" TargetMode="External" Id="R16ca891ecdd64f94" /><Relationship Type="http://schemas.openxmlformats.org/officeDocument/2006/relationships/hyperlink" Target="https://meteor.aihw.gov.au/content/585132" TargetMode="External" Id="R8496ac453ab542b9" /><Relationship Type="http://schemas.openxmlformats.org/officeDocument/2006/relationships/hyperlink" Target="https://meteor.aihw.gov.au/RegistrationAuthority/12" TargetMode="External" Id="Rbe607ee563514de7" /><Relationship Type="http://schemas.openxmlformats.org/officeDocument/2006/relationships/hyperlink" Target="https://meteor.aihw.gov.au/content/751503" TargetMode="External" Id="R1e9d87f587c644d9" /><Relationship Type="http://schemas.openxmlformats.org/officeDocument/2006/relationships/hyperlink" Target="https://meteor.aihw.gov.au/RegistrationAuthority/12" TargetMode="External" Id="R2d915a2147664918" /><Relationship Type="http://schemas.openxmlformats.org/officeDocument/2006/relationships/hyperlink" Target="https://meteor.aihw.gov.au/content/585098" TargetMode="External" Id="R7538e6fed59641c0" /><Relationship Type="http://schemas.openxmlformats.org/officeDocument/2006/relationships/hyperlink" Target="https://meteor.aihw.gov.au/RegistrationAuthority/12" TargetMode="External" Id="R56d03289c7a14e4e" /><Relationship Type="http://schemas.openxmlformats.org/officeDocument/2006/relationships/hyperlink" Target="https://meteor.aihw.gov.au/content/585108" TargetMode="External" Id="Rf18a1306d2ce4dc0" /><Relationship Type="http://schemas.openxmlformats.org/officeDocument/2006/relationships/hyperlink" Target="https://meteor.aihw.gov.au/RegistrationAuthority/12" TargetMode="External" Id="Rc894e163dcaf47bd" /><Relationship Type="http://schemas.openxmlformats.org/officeDocument/2006/relationships/hyperlink" Target="https://meteor.aihw.gov.au/content/754302" TargetMode="External" Id="Rd04e5cd3b18e40cc" /><Relationship Type="http://schemas.openxmlformats.org/officeDocument/2006/relationships/hyperlink" Target="https://meteor.aihw.gov.au/RegistrationAuthority/12" TargetMode="External" Id="Rfbca14b602d1422b" /></Relationships>
</file>

<file path=word/_rels/header1.xml.rels>&#65279;<?xml version="1.0" encoding="utf-8"?><Relationships xmlns="http://schemas.openxmlformats.org/package/2006/relationships"><Relationship Type="http://schemas.openxmlformats.org/officeDocument/2006/relationships/image" Target="/media/image.png" Id="Rdfb30082db894db5" /></Relationships>
</file>