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4839f1840f4703" /></Relationships>
</file>

<file path=word/document.xml><?xml version="1.0" encoding="utf-8"?>
<w:document xmlns:r="http://schemas.openxmlformats.org/officeDocument/2006/relationships" xmlns:w="http://schemas.openxmlformats.org/wordprocessingml/2006/main">
  <w:body>
    <w:p>
      <w:pPr>
        <w:pStyle w:val="Title"/>
      </w:pPr>
      <w:r>
        <w:t>Injury event—nature of main injury, non-admitted patient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event—nature of main injury, non-admitted patient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Nature of main injury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e6e6408016419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injury chiefly responsible for the attendance of the non-admitted patient at the health care facility, at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870bf832dc4948">
              <w:r>
                <w:rPr>
                  <w:rStyle w:val="Hyperlink"/>
                </w:rPr>
                <w:t xml:space="preserve">Injury event—nature of main injury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2dd42d5cd8483b">
              <w:r>
                <w:rPr>
                  <w:rStyle w:val="Hyperlink"/>
                </w:rPr>
                <w:t xml:space="preserve">Non-admitted patient nature of main injury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Superficial (excludes eye injury code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Open wound (excludes eye injury code 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Fracture (excludes dental injury code 21)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Dislocation (includes ruptured disc, cartilage, ligament)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Sprain or strain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Injury to nerve (includes spinal cord; excludes intracranial injury code 20)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Injury to blood vessel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Injury to muscle or tendon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Crushing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Traumatic amputation (includes partial amputation)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Injury to internal organ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Burn or corrosion (excludes eye injury code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Eye injury (includes burns, excludes foreign body in external eye code 14.1 )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Foreign body in external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Foreign body in ear 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Foreign body in nose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Foreign body in respiratory tract (excludes foreign body in nose code 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Foreign body in alimentary 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Foreign body in genitourinary 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Foreign body in soft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Foreign body, other/unspecified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Intracranial injury (includes concussion)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Dental injury (includes fractured tooth)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Drowning, immersion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Asphyxia or other threat to breathing (excludes drowning immersion code 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Electrical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Poisoning, toxic effect (excludes effect of venom, or any insect bite code 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Effect of venom, or any insect bite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Other specified nature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Injury of unspecified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Multiple injuries of more than one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No injury detected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full ICD-10-AM code is used to code the injury, this metadata item is not required (see metadata items principal diagnosis and additional diagnosis) When coding to the full ICD-10-AM code is not possible, use this metadata item with the items external cause of injury-non admitted patient, external cause of injury-human intent and bodily location of main injury.</w:t>
            </w:r>
          </w:p>
          <w:p>
            <w:pPr>
              <w:spacing w:after="160"/>
            </w:pPr>
            <w:r>
              <w:rPr>
                <w:rStyle w:val="row-content-rich-text"/>
              </w:rPr>
              <w:t xml:space="preserve">Select the code which best characterises the nature of the injury chiefly responsible for the attendance, on the basis of the information available at the time it is recorded. If two or more categories are judged to be equally appropriate, select the one that comes first in the code list. A major injury, if present, should always be coded rather than a minor injury. If a major injury has been sustained (e.g. a fractured femur), along with one or more minor injuries (e.g. some small abrasions), the major injury should be coded in preference to coding 'multiple injuries'. As a general guide, an injury which, on its own, would be unlikely to have led to the attendance may be regarded as 'minor'.</w:t>
            </w:r>
          </w:p>
          <w:p>
            <w:pPr/>
            <w:r>
              <w:rPr>
                <w:rStyle w:val="row-content-rich-text"/>
              </w:rPr>
              <w:t xml:space="preserve">If the nature of the injury code is 01 to 12 or 26 to 29 then the metadata item Bodily location of main injury should be used to record the bodily location of the injury. If another code is used, bodily location is implicit or meaningless. Bodily location of main injury, category 22 may be used as a filler to indicate that specific body region is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diagnosis is necessary for purposes including epidemiological research, casemix studies and planning. This metadata item together with the metadata item bodily location of the main injury indicates the diagnosis.</w:t>
            </w:r>
          </w:p>
          <w:p>
            <w:pPr/>
            <w:r>
              <w:rPr>
                <w:rStyle w:val="row-content-rich-text"/>
              </w:rPr>
              <w:t xml:space="preserve">This metadata item is related to the ICD-10-AM injury and poisoning classification. However, coding to the full ICD-10-AM injury and poisoning classification (see metadata item principal diagnosis) is not available in most settings where basic injury surveillance is undertaken. This item, in combination with the metadata item Bodily location of main injury, is a practicable alternative. Data coded to the full ICD-10-AM codes can be aggregated to match this item, facilitating data comparison. Further information on the national injury surveillance program can be obtained from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Injury Surveillance Unit, Flinders University, Adelaide</w:t>
            </w:r>
          </w:p>
          <w:p>
            <w:r>
              <w:rPr>
                <w:rStyle w:val="row-content"/>
              </w:rPr>
              <w:t xml:space="preserve">National Data Standards for Injury Surveillance Advisory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30523aad60f4ef3">
              <w:r>
                <w:drawing>
                  <wp:inline xmlns:wp="http://schemas.openxmlformats.org/drawingml/2006/wordprocessingDrawing" distT="0" distB="0" distL="0" distR="0">
                    <wp:extent cx="152400" cy="152400"/>
                    <wp:effectExtent l="19050" t="0" r="0" b="0"/>
                    <wp:docPr id="2" name="Picture 2" descr="">
                      <a:hlinkClick xmlns:a="http://schemas.openxmlformats.org/drawingml/2006/main" r:id="Ra30523aad60f4ef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15c27cc8c684852"/>
                            <a:srcRect/>
                            <a:stretch>
                              <a:fillRect/>
                            </a:stretch>
                          </pic:blipFill>
                          <pic:spPr bwMode="auto">
                            <a:xfrm>
                              <a:off x="0" y="0"/>
                              <a:ext cx="152400" cy="152400"/>
                            </a:xfrm>
                            <a:prstGeom prst="rect">
                              <a:avLst/>
                            </a:prstGeom>
                          </pic:spPr>
                        </pic:pic>
                      </a:graphicData>
                    </a:graphic>
                  </wp:inline>
                </w:drawing>
              </w:r>
              <w:r>
                <w:rPr>
                  <w:rStyle w:val="Hyperlink"/>
                </w:rPr>
                <w:t xml:space="preserve"> Nature of main injury - non-admitted patient, version 1, DE, NHDD, NHIMG, Superseded 01/03/2005.pdf</w:t>
              </w:r>
            </w:hyperlink>
          </w:p>
          <w:p>
            <w:r>
              <w:rPr>
                <w:rStyle w:val="row-content"/>
              </w:rPr>
              <w:t xml:space="preserve"> (22.3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17f4187729a54eb2">
              <w:r>
                <w:rPr>
                  <w:rStyle w:val="Hyperlink"/>
                </w:rPr>
                <w:t xml:space="preserve">Person—bodily location of main injury, code NN</w:t>
              </w:r>
            </w:hyperlink>
          </w:p>
          <w:p>
            <w:pPr>
              <w:spacing w:before="0" w:after="0"/>
            </w:pPr>
            <w:r>
              <w:rPr>
                <w:rStyle w:val="row-content"/>
                <w:color w:val="244061"/>
              </w:rPr>
              <w:t xml:space="preserve">       </w:t>
            </w:r>
            <w:hyperlink w:history="true" r:id="Rb4c164b4158c4b29">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d6fc61c2504366">
              <w:r>
                <w:rPr>
                  <w:rStyle w:val="Hyperlink"/>
                </w:rPr>
                <w:t xml:space="preserve">Injury surveillance DSS</w:t>
              </w:r>
            </w:hyperlink>
          </w:p>
          <w:p>
            <w:pPr>
              <w:spacing w:before="0" w:after="0"/>
            </w:pPr>
            <w:r>
              <w:rPr>
                <w:rStyle w:val="row-content"/>
                <w:color w:val="244061"/>
              </w:rPr>
              <w:t xml:space="preserve">       </w:t>
            </w:r>
            <w:hyperlink w:history="true" r:id="R5d2ce7aa33684cdb">
              <w:r>
                <w:rPr>
                  <w:rStyle w:val="Hyperlink"/>
                  <w:color w:val="244061"/>
                </w:rPr>
                <w:t xml:space="preserve">Health</w:t>
              </w:r>
            </w:hyperlink>
            <w:r>
              <w:rPr>
                <w:rStyle w:val="row-content"/>
                <w:color w:val="244061"/>
              </w:rPr>
              <w:t xml:space="preserve">, Superseded 05/02/2008</w:t>
            </w:r>
          </w:p>
          <w:p>
            <w:r>
              <w:rPr>
                <w:rStyle w:val="row-content"/>
                <w:b/>
                <w:i/>
              </w:rPr>
              <w:t xml:space="preserve">DSS specific information: </w:t>
            </w:r>
            <w:r>
              <w:rPr>
                <w:rStyle w:val="row-content"/>
              </w:rPr>
              <w:t xml:space="preserve">Left justified, zero filled.</w:t>
            </w:r>
            <w:r>
              <w:br/>
            </w:r>
            <w:r>
              <w:br/>
            </w:r>
            <w:hyperlink w:history="true" r:id="Ra7c16bb906c148c4">
              <w:r>
                <w:rPr>
                  <w:rStyle w:val="Hyperlink"/>
                </w:rPr>
                <w:t xml:space="preserve">Injury surveillance DSS</w:t>
              </w:r>
            </w:hyperlink>
          </w:p>
          <w:p>
            <w:pPr>
              <w:spacing w:before="0" w:after="0"/>
            </w:pPr>
            <w:r>
              <w:rPr>
                <w:rStyle w:val="row-content"/>
                <w:color w:val="244061"/>
              </w:rPr>
              <w:t xml:space="preserve">       </w:t>
            </w:r>
            <w:hyperlink w:history="true" r:id="Rf60c66922f154c21">
              <w:r>
                <w:rPr>
                  <w:rStyle w:val="Hyperlink"/>
                  <w:color w:val="244061"/>
                </w:rPr>
                <w:t xml:space="preserve">Health</w:t>
              </w:r>
            </w:hyperlink>
            <w:r>
              <w:rPr>
                <w:rStyle w:val="row-content"/>
                <w:color w:val="244061"/>
              </w:rPr>
              <w:t xml:space="preserve">, Superseded 14/12/2009</w:t>
            </w:r>
          </w:p>
          <w:p>
            <w:r>
              <w:rPr>
                <w:rStyle w:val="row-content"/>
                <w:b/>
                <w:i/>
              </w:rPr>
              <w:t xml:space="preserve">DSS specific information: </w:t>
            </w:r>
            <w:r>
              <w:rPr>
                <w:rStyle w:val="row-content"/>
              </w:rPr>
              <w:t xml:space="preserve">Left justified, zero filled.</w:t>
            </w:r>
            <w:r>
              <w:br/>
            </w:r>
            <w:r>
              <w:br/>
            </w:r>
            <w:hyperlink w:history="true" r:id="R0f72735bd1d944bf">
              <w:r>
                <w:rPr>
                  <w:rStyle w:val="Hyperlink"/>
                </w:rPr>
                <w:t xml:space="preserve">Injury surveillance DSS 2010-13</w:t>
              </w:r>
            </w:hyperlink>
          </w:p>
          <w:p>
            <w:pPr>
              <w:spacing w:before="0" w:after="0"/>
            </w:pPr>
            <w:r>
              <w:rPr>
                <w:rStyle w:val="row-content"/>
                <w:color w:val="244061"/>
              </w:rPr>
              <w:t xml:space="preserve">       </w:t>
            </w:r>
            <w:hyperlink w:history="true" r:id="Rd1e4c75ac1cc4f8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Left justified, zero filled.</w:t>
            </w:r>
            <w:r>
              <w:br/>
            </w:r>
            <w:r>
              <w:br/>
            </w:r>
            <w:hyperlink w:history="true" r:id="Rc73cf9d7232a42f6">
              <w:r>
                <w:rPr>
                  <w:rStyle w:val="Hyperlink"/>
                </w:rPr>
                <w:t xml:space="preserve">Injury surveillance NBPDS 2013-</w:t>
              </w:r>
            </w:hyperlink>
          </w:p>
          <w:p>
            <w:pPr>
              <w:spacing w:before="0" w:after="0"/>
            </w:pPr>
            <w:r>
              <w:rPr>
                <w:rStyle w:val="row-content"/>
                <w:color w:val="244061"/>
              </w:rPr>
              <w:t xml:space="preserve">       </w:t>
            </w:r>
            <w:hyperlink w:history="true" r:id="Re52094db74c54eb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Left justified, zero filled.</w:t>
            </w:r>
          </w:p>
          <w:p>
            <w:r>
              <w:br/>
            </w:r>
            <w:r>
              <w:br/>
            </w:r>
            <w:hyperlink w:history="true" r:id="Rf3b42a2024d14512">
              <w:r>
                <w:rPr>
                  <w:rStyle w:val="Hyperlink"/>
                </w:rPr>
                <w:t xml:space="preserve">Injury surveillance NMDS</w:t>
              </w:r>
            </w:hyperlink>
          </w:p>
          <w:p>
            <w:pPr>
              <w:spacing w:before="0" w:after="0"/>
            </w:pPr>
            <w:r>
              <w:rPr>
                <w:rStyle w:val="row-content"/>
                <w:color w:val="244061"/>
              </w:rPr>
              <w:t xml:space="preserve">       </w:t>
            </w:r>
            <w:hyperlink w:history="true" r:id="R5b087a2e811e4275">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Left justified, zero filled.</w:t>
            </w:r>
            <w:r>
              <w:br/>
            </w:r>
            <w:r>
              <w:br/>
            </w:r>
            <w:hyperlink w:history="true" r:id="R06c688e12f0b462e">
              <w:r>
                <w:rPr>
                  <w:rStyle w:val="Hyperlink"/>
                </w:rPr>
                <w:t xml:space="preserve">Injury surveillance NMDS</w:t>
              </w:r>
            </w:hyperlink>
          </w:p>
          <w:p>
            <w:pPr>
              <w:spacing w:before="0" w:after="0"/>
            </w:pPr>
            <w:r>
              <w:rPr>
                <w:rStyle w:val="row-content"/>
                <w:color w:val="244061"/>
              </w:rPr>
              <w:t xml:space="preserve">       </w:t>
            </w:r>
            <w:hyperlink w:history="true" r:id="R883d84040e6b45a0">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Left justified, zero filled.</w:t>
            </w:r>
            <w:r>
              <w:br/>
            </w:r>
            <w:r>
              <w:br/>
            </w:r>
          </w:p>
        </w:tc>
      </w:tr>
    </w:tbl>
    <w:p/>
    <w:tbl>
      <w:tblPr>
        <w:tblStyle w:val="TableGrid"/>
        <w:tblW w:w="0" w:type="auto"/>
      </w:tblPr>
    </w:tbl>
    <w:p>
      <w:r>
        <w:br/>
      </w:r>
    </w:p>
    <w:sectPr>
      <w:footerReference xmlns:r="http://schemas.openxmlformats.org/officeDocument/2006/relationships" w:type="default" r:id="R2bcecf4ac755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1a8858ac7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cecf4ac75546b6" /><Relationship Type="http://schemas.openxmlformats.org/officeDocument/2006/relationships/header" Target="/word/header1.xml" Id="R89ab48bc078c4082" /><Relationship Type="http://schemas.openxmlformats.org/officeDocument/2006/relationships/settings" Target="/word/settings.xml" Id="Rdb9f0700407d4027" /><Relationship Type="http://schemas.openxmlformats.org/officeDocument/2006/relationships/styles" Target="/word/styles.xml" Id="R0d0a1661f7a04f0e" /><Relationship Type="http://schemas.openxmlformats.org/officeDocument/2006/relationships/hyperlink" Target="https://meteor.aihw.gov.au/RegistrationAuthority/12" TargetMode="External" Id="R82e6e6408016419b" /><Relationship Type="http://schemas.openxmlformats.org/officeDocument/2006/relationships/hyperlink" Target="https://meteor.aihw.gov.au/content/269532" TargetMode="External" Id="Rb8870bf832dc4948" /><Relationship Type="http://schemas.openxmlformats.org/officeDocument/2006/relationships/hyperlink" Target="https://meteor.aihw.gov.au/content/270665" TargetMode="External" Id="R632dd42d5cd8483b" /><Relationship Type="http://schemas.openxmlformats.org/officeDocument/2006/relationships/hyperlink" Target="https://meteor.aihw.gov.au/content/273169" TargetMode="External" Id="Ra30523aad60f4ef3" /><Relationship Type="http://schemas.openxmlformats.org/officeDocument/2006/relationships/image" Target="/media/image.gif" Id="R415c27cc8c684852" /><Relationship Type="http://schemas.openxmlformats.org/officeDocument/2006/relationships/hyperlink" Target="https://meteor.aihw.gov.au/content/268943" TargetMode="External" Id="R17f4187729a54eb2" /><Relationship Type="http://schemas.openxmlformats.org/officeDocument/2006/relationships/hyperlink" Target="https://meteor.aihw.gov.au/RegistrationAuthority/12" TargetMode="External" Id="Rb4c164b4158c4b29" /><Relationship Type="http://schemas.openxmlformats.org/officeDocument/2006/relationships/hyperlink" Target="https://meteor.aihw.gov.au/content/339736" TargetMode="External" Id="Rf6d6fc61c2504366" /><Relationship Type="http://schemas.openxmlformats.org/officeDocument/2006/relationships/hyperlink" Target="https://meteor.aihw.gov.au/RegistrationAuthority/12" TargetMode="External" Id="R5d2ce7aa33684cdb" /><Relationship Type="http://schemas.openxmlformats.org/officeDocument/2006/relationships/hyperlink" Target="https://meteor.aihw.gov.au/content/361954" TargetMode="External" Id="Ra7c16bb906c148c4" /><Relationship Type="http://schemas.openxmlformats.org/officeDocument/2006/relationships/hyperlink" Target="https://meteor.aihw.gov.au/RegistrationAuthority/12" TargetMode="External" Id="Rf60c66922f154c21" /><Relationship Type="http://schemas.openxmlformats.org/officeDocument/2006/relationships/hyperlink" Target="https://meteor.aihw.gov.au/content/393268" TargetMode="External" Id="R0f72735bd1d944bf" /><Relationship Type="http://schemas.openxmlformats.org/officeDocument/2006/relationships/hyperlink" Target="https://meteor.aihw.gov.au/RegistrationAuthority/12" TargetMode="External" Id="Rd1e4c75ac1cc4f8a" /><Relationship Type="http://schemas.openxmlformats.org/officeDocument/2006/relationships/hyperlink" Target="https://meteor.aihw.gov.au/content/516747" TargetMode="External" Id="Rc73cf9d7232a42f6" /><Relationship Type="http://schemas.openxmlformats.org/officeDocument/2006/relationships/hyperlink" Target="https://meteor.aihw.gov.au/RegistrationAuthority/12" TargetMode="External" Id="Re52094db74c54eb3" /><Relationship Type="http://schemas.openxmlformats.org/officeDocument/2006/relationships/hyperlink" Target="https://meteor.aihw.gov.au/content/334072" TargetMode="External" Id="Rf3b42a2024d14512" /><Relationship Type="http://schemas.openxmlformats.org/officeDocument/2006/relationships/hyperlink" Target="https://meteor.aihw.gov.au/RegistrationAuthority/12" TargetMode="External" Id="R5b087a2e811e4275" /><Relationship Type="http://schemas.openxmlformats.org/officeDocument/2006/relationships/hyperlink" Target="https://meteor.aihw.gov.au/content/268951" TargetMode="External" Id="R06c688e12f0b462e" /><Relationship Type="http://schemas.openxmlformats.org/officeDocument/2006/relationships/hyperlink" Target="https://meteor.aihw.gov.au/RegistrationAuthority/12" TargetMode="External" Id="R883d84040e6b45a0" /></Relationships>
</file>

<file path=word/_rels/header1.xml.rels>&#65279;<?xml version="1.0" encoding="utf-8"?><Relationships xmlns="http://schemas.openxmlformats.org/package/2006/relationships"><Relationship Type="http://schemas.openxmlformats.org/officeDocument/2006/relationships/image" Target="/media/image.png" Id="R22d1a8858ac74252" /></Relationships>
</file>