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041e8ef8a242f5" /></Relationships>
</file>

<file path=word/document.xml><?xml version="1.0" encoding="utf-8"?>
<w:document xmlns:r="http://schemas.openxmlformats.org/officeDocument/2006/relationships" xmlns:w="http://schemas.openxmlformats.org/wordprocessingml/2006/main">
  <w:body>
    <w:p>
      <w:pPr>
        <w:pStyle w:val="Title"/>
      </w:pPr>
      <w:r>
        <w:t>Representation class - Value Domain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Representation class - Value Domain</w:t>
      </w:r>
    </w:p>
    <w:p>
      <w:r>
        <w:t xml:space="preserve">The following information is applicable to value domains only.</w:t>
      </w:r>
    </w:p>
    <w:p>
      <w:pPr>
        <w:pStyle w:val="Heading2"/>
      </w:pPr>
      <w:r>
        <w:t xml:space="preserve">Definition</w:t>
      </w:r>
    </w:p>
    <w:p>
      <w:r>
        <w:t xml:space="preserve">The class of representation of a value domain (e.g. 'Code' or 'Total').</w:t>
      </w:r>
    </w:p>
    <w:p>
      <w:pPr>
        <w:pStyle w:val="Heading2"/>
      </w:pPr>
      <w:r>
        <w:t xml:space="preserve">Obligation</w:t>
      </w:r>
    </w:p>
    <w:p>
      <w:r>
        <w:t xml:space="preserve">Mandatory completion.</w:t>
      </w:r>
    </w:p>
    <w:p>
      <w:pPr>
        <w:pStyle w:val="Heading2"/>
      </w:pPr>
      <w:r>
        <w:t xml:space="preserve">Development rules</w:t>
      </w:r>
    </w:p>
    <w:p>
      <w:r>
        <w:t xml:space="preserve">Valid representation classes are presented in Table 1.</w:t>
      </w:r>
    </w:p>
    <w:p>
      <w:r>
        <w:t xml:space="preserve">The representation class reflects the main structure of the value domain, not supplementary code(s) such as '99 - not stated/inadequately described'. For example, the representation class for a value domain permitting a measured value (e.g. 5 centimetres) or a '99.9 - not able to be measured' code is</w:t>
      </w:r>
      <w:r>
        <w:rPr>
          <w:i/>
        </w:rPr>
        <w:t xml:space="preserve">Total</w:t>
      </w:r>
      <w:r>
        <w:t xml:space="preserve">, not </w:t>
      </w:r>
      <w:r>
        <w:rPr>
          <w:i/>
        </w:rPr>
        <w:t xml:space="preserve">Code</w:t>
      </w:r>
      <w:r>
        <w:t xml:space="preserve">.</w:t>
      </w:r>
    </w:p>
    <w:p>
      <w:r>
        <w:t xml:space="preserve">A value domain that is of representation class </w:t>
      </w:r>
      <w:r>
        <w:rPr>
          <w:i/>
        </w:rPr>
        <w:t xml:space="preserve">Ratio </w:t>
      </w:r>
      <w:r>
        <w:t xml:space="preserve">consists of measures of at least two distinct concepts, each of which may be collected in its own right e.g. body mass index is calculated from measures of a person’s body weight and body height. In contrast, a value domain that is of representation class </w:t>
      </w:r>
      <w:r>
        <w:rPr>
          <w:i/>
        </w:rPr>
        <w:t xml:space="preserve">Total</w:t>
      </w:r>
      <w:r>
        <w:t xml:space="preserve"> is either an absolute count of something, reported in one or more units (e.g. Australian currency), or one measure, expressed as a proportionate quantity (e.g. milligrams per litre).</w:t>
      </w:r>
    </w:p>
    <w:p>
      <w:r>
        <w:t xml:space="preserve">Sub-type classes of the </w:t>
      </w:r>
      <w:r>
        <w:rPr>
          <w:i/>
        </w:rPr>
        <w:t xml:space="preserve">Total</w:t>
      </w:r>
      <w:r>
        <w:t xml:space="preserve"> representation class are available for optional use (i.e. </w:t>
      </w:r>
      <w:r>
        <w:rPr>
          <w:i/>
        </w:rPr>
        <w:t xml:space="preserve">Count</w:t>
      </w:r>
      <w:r>
        <w:t xml:space="preserve">, </w:t>
      </w:r>
      <w:r>
        <w:rPr>
          <w:i/>
        </w:rPr>
        <w:t xml:space="preserve">Currency</w:t>
      </w:r>
      <w:r>
        <w:t xml:space="preserve"> and </w:t>
      </w:r>
      <w:r>
        <w:rPr>
          <w:i/>
        </w:rPr>
        <w:t xml:space="preserve">Quantity</w:t>
      </w:r>
      <w:r>
        <w:t xml:space="preserve">).</w:t>
      </w:r>
    </w:p>
    <w:p>
      <w:r>
        <w:rPr>
          <w:b/>
        </w:rPr>
        <w:t xml:space="preserve">Table 1: Valid representation class values and their associated meanings</w:t>
      </w:r>
    </w:p>
    <w:tbl>
      <w:tblPr>
        <w:tblStyle w:val="TableGrid"/>
        <w:tblW w:w="5000" w:type="pct"/>
        <w:tblLayout w:type="fixed"/>
      </w:tblPr>
      <w:tblGrid>
        <w:gridCol/>
        <w:gridCol/>
      </w:tblGrid>
      <w:tr>
        <w:trPr/>
        <w:tc>
          <w:tcPr>
            <w:vAlign w:val="top"/>
          </w:tcPr>
          <w:p>
            <w:r>
              <w:rPr>
                <w:b/>
              </w:rPr>
              <w:t xml:space="preserve">Value</w:t>
            </w:r>
          </w:p>
        </w:tc>
        <w:tc>
          <w:tcPr>
            <w:vAlign w:val="top"/>
          </w:tcPr>
          <w:p>
            <w:r>
              <w:rPr>
                <w:b/>
              </w:rPr>
              <w:t xml:space="preserve">Meaning</w:t>
            </w:r>
          </w:p>
        </w:tc>
      </w:tr>
      <w:tr>
        <w:trPr/>
        <w:tc>
          <w:tcPr>
            <w:vAlign w:val="top"/>
          </w:tcPr>
          <w:p>
            <w:r>
              <w:t xml:space="preserve">Average</w:t>
            </w:r>
          </w:p>
        </w:tc>
        <w:tc>
          <w:tcPr>
            <w:vAlign w:val="top"/>
          </w:tcPr>
          <w:p>
            <w:r>
              <w:t xml:space="preserve">A numeric value representing an arithmetic mean.</w:t>
            </w:r>
          </w:p>
        </w:tc>
      </w:tr>
      <w:tr>
        <w:trPr/>
        <w:tc>
          <w:tcPr>
            <w:vAlign w:val="top"/>
          </w:tcPr>
          <w:p>
            <w:r>
              <w:t xml:space="preserve">Code</w:t>
            </w:r>
          </w:p>
        </w:tc>
        <w:tc>
          <w:tcPr>
            <w:vAlign w:val="top"/>
          </w:tcPr>
          <w:p>
            <w:r>
              <w:t xml:space="preserve">A system of valid symbols that substitute for longer values.</w:t>
            </w:r>
          </w:p>
        </w:tc>
      </w:tr>
      <w:tr>
        <w:trPr/>
        <w:tc>
          <w:tcPr>
            <w:vAlign w:val="top"/>
          </w:tcPr>
          <w:p>
            <w:r>
              <w:t xml:space="preserve">Date</w:t>
            </w:r>
          </w:p>
        </w:tc>
        <w:tc>
          <w:tcPr>
            <w:vAlign w:val="top"/>
          </w:tcPr>
          <w:p>
            <w:r>
              <w:t xml:space="preserve">A numeric value representing a calendar date (i.e. day, month and year) or recognised part of a calendar date (i.e. day, month, and/or year).</w:t>
            </w:r>
          </w:p>
        </w:tc>
      </w:tr>
      <w:tr>
        <w:trPr/>
        <w:tc>
          <w:tcPr>
            <w:vAlign w:val="top"/>
          </w:tcPr>
          <w:p>
            <w:r>
              <w:t xml:space="preserve">Identifier</w:t>
            </w:r>
          </w:p>
        </w:tc>
        <w:tc>
          <w:tcPr>
            <w:vAlign w:val="top"/>
          </w:tcPr>
          <w:p>
            <w:r>
              <w:t xml:space="preserve">A value which establishes identity.</w:t>
            </w:r>
          </w:p>
        </w:tc>
      </w:tr>
      <w:tr>
        <w:trPr/>
        <w:tc>
          <w:tcPr>
            <w:vAlign w:val="top"/>
          </w:tcPr>
          <w:p>
            <w:r>
              <w:t xml:space="preserve">Percentage</w:t>
            </w:r>
          </w:p>
        </w:tc>
        <w:tc>
          <w:tcPr>
            <w:vAlign w:val="top"/>
          </w:tcPr>
          <w:p>
            <w:r>
              <w:t xml:space="preserve">Parts per hundred.</w:t>
            </w:r>
          </w:p>
        </w:tc>
      </w:tr>
      <w:tr>
        <w:trPr/>
        <w:tc>
          <w:tcPr>
            <w:vAlign w:val="top"/>
          </w:tcPr>
          <w:p>
            <w:r>
              <w:t xml:space="preserve">Ratio</w:t>
            </w:r>
          </w:p>
        </w:tc>
        <w:tc>
          <w:tcPr>
            <w:vAlign w:val="top"/>
          </w:tcPr>
          <w:p>
            <w:r>
              <w:t xml:space="preserve">An expression of the quantity of one substance or entity in relation to that of another (Dorlands, 2003: 1586).</w:t>
            </w:r>
          </w:p>
        </w:tc>
      </w:tr>
      <w:tr>
        <w:trPr/>
        <w:tc>
          <w:tcPr>
            <w:vAlign w:val="top"/>
          </w:tcPr>
          <w:p>
            <w:r>
              <w:t xml:space="preserve">Text</w:t>
            </w:r>
          </w:p>
        </w:tc>
        <w:tc>
          <w:tcPr>
            <w:vAlign w:val="top"/>
          </w:tcPr>
          <w:p>
            <w:r>
              <w:t xml:space="preserve">An unformatted, descriptive value.</w:t>
            </w:r>
          </w:p>
        </w:tc>
      </w:tr>
      <w:tr>
        <w:trPr/>
        <w:tc>
          <w:tcPr>
            <w:vAlign w:val="top"/>
          </w:tcPr>
          <w:p>
            <w:r>
              <w:t xml:space="preserve">Time</w:t>
            </w:r>
          </w:p>
        </w:tc>
        <w:tc>
          <w:tcPr>
            <w:vAlign w:val="top"/>
          </w:tcPr>
          <w:p>
            <w:r>
              <w:t xml:space="preserve">A numeric value representing a specific instance in time.</w:t>
            </w:r>
          </w:p>
        </w:tc>
      </w:tr>
      <w:tr>
        <w:trPr/>
        <w:tc>
          <w:tcPr>
            <w:vAlign w:val="top"/>
          </w:tcPr>
          <w:p>
            <w:r>
              <w:t xml:space="preserve">Total</w:t>
            </w:r>
          </w:p>
        </w:tc>
        <w:tc>
          <w:tcPr>
            <w:vAlign w:val="top"/>
          </w:tcPr>
          <w:p>
            <w:r>
              <w:t xml:space="preserve">A numeric value representing the sum of a set of values or an entire quantity (including monetary).</w:t>
            </w:r>
          </w:p>
        </w:tc>
      </w:tr>
      <w:tr>
        <w:trPr/>
        <w:tc>
          <w:tcPr>
            <w:vAlign w:val="top"/>
          </w:tcPr>
          <w:p>
            <w:r>
              <w:t xml:space="preserve">Count</w:t>
            </w:r>
          </w:p>
        </w:tc>
        <w:tc>
          <w:tcPr>
            <w:vAlign w:val="top"/>
          </w:tcPr>
          <w:p>
            <w:r>
              <w:t xml:space="preserve">A numeric value representing a non-monetary numeric value arrived at by counting.</w:t>
            </w:r>
          </w:p>
        </w:tc>
      </w:tr>
      <w:tr>
        <w:trPr/>
        <w:tc>
          <w:tcPr>
            <w:vAlign w:val="top"/>
          </w:tcPr>
          <w:p>
            <w:r>
              <w:t xml:space="preserve">Currency</w:t>
            </w:r>
          </w:p>
        </w:tc>
        <w:tc>
          <w:tcPr>
            <w:vAlign w:val="top"/>
          </w:tcPr>
          <w:p>
            <w:r>
              <w:t xml:space="preserve">A numeric value representing a monetary value.</w:t>
            </w:r>
          </w:p>
        </w:tc>
      </w:tr>
      <w:tr>
        <w:trPr/>
        <w:tc>
          <w:tcPr>
            <w:vAlign w:val="top"/>
          </w:tcPr>
          <w:p>
            <w:r>
              <w:t xml:space="preserve">Quantity</w:t>
            </w:r>
          </w:p>
        </w:tc>
        <w:tc>
          <w:tcPr>
            <w:vAlign w:val="top"/>
          </w:tcPr>
          <w:p>
            <w:r>
              <w:t xml:space="preserve">A numeric value representing a continuous number such as the linear dimensions, capacity/amount (non-monetary) of an object.</w:t>
            </w:r>
          </w:p>
        </w:tc>
      </w:tr>
    </w:tbl>
    <w:p>
      <w:r>
        <w:br/>
      </w:r>
      <w:r>
        <w:br/>
      </w:r>
    </w:p>
    <w:sectPr>
      <w:footerReference xmlns:r="http://schemas.openxmlformats.org/officeDocument/2006/relationships" w:type="default" r:id="R841b29881f0145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261953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480673a2534e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1b29881f0145d2" /><Relationship Type="http://schemas.openxmlformats.org/officeDocument/2006/relationships/header" Target="/word/header1.xml" Id="Rd467668326f34ddf" /><Relationship Type="http://schemas.openxmlformats.org/officeDocument/2006/relationships/settings" Target="/word/settings.xml" Id="R36438d0e6fe245a3" /><Relationship Type="http://schemas.openxmlformats.org/officeDocument/2006/relationships/styles" Target="/word/styles.xml" Id="R07622a2be2084824" /></Relationships>
</file>

<file path=word/_rels/header1.xml.rels>&#65279;<?xml version="1.0" encoding="utf-8"?><Relationships xmlns="http://schemas.openxmlformats.org/package/2006/relationships"><Relationship Type="http://schemas.openxmlformats.org/officeDocument/2006/relationships/image" Target="/media/image.png" Id="Rf3480673a2534ecd" /></Relationships>
</file>