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ed64cbd9b1d4422" /></Relationships>
</file>

<file path=word/document.xml><?xml version="1.0" encoding="utf-8"?>
<w:document xmlns:r="http://schemas.openxmlformats.org/officeDocument/2006/relationships" xmlns:w="http://schemas.openxmlformats.org/wordprocessingml/2006/main">
  <w:body>
    <w:p>
      <w:pPr>
        <w:pStyle w:val="Title"/>
      </w:pPr>
      <w:r>
        <w:t>Registration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Registration status</w:t>
      </w:r>
    </w:p>
    <w:p>
      <w:r>
        <w:t xml:space="preserve">The following information is applicable to all metadata items. </w:t>
      </w:r>
    </w:p>
    <w:p>
      <w:pPr>
        <w:pStyle w:val="Heading2"/>
      </w:pPr>
      <w:r>
        <w:t xml:space="preserve">Definition</w:t>
      </w:r>
    </w:p>
    <w:p>
      <w:r>
        <w:t xml:space="preserve">A status value indicating the stage at which the metadata item is at in the registration process.</w:t>
      </w:r>
    </w:p>
    <w:p>
      <w:r>
        <w:t xml:space="preserve">Registration status is composed of three components:</w:t>
      </w:r>
    </w:p>
    <w:p>
      <w:pPr>
        <w:pStyle w:val="ListParagraph"/>
        <w:numPr>
          <w:ilvl w:val="0"/>
          <w:numId w:val="2"/>
        </w:numPr>
      </w:pPr>
      <w:r>
        <w:t xml:space="preserve">the registration authorities in which the metadata item has a status.</w:t>
      </w:r>
    </w:p>
    <w:p>
      <w:pPr>
        <w:pStyle w:val="ListParagraph"/>
        <w:numPr>
          <w:ilvl w:val="0"/>
          <w:numId w:val="2"/>
        </w:numPr>
      </w:pPr>
      <w:r>
        <w:t xml:space="preserve">the status of the metadata item</w:t>
      </w:r>
    </w:p>
    <w:p>
      <w:pPr>
        <w:pStyle w:val="ListParagraph"/>
        <w:numPr>
          <w:ilvl w:val="0"/>
          <w:numId w:val="2"/>
        </w:numPr>
      </w:pPr>
      <w:r>
        <w:t xml:space="preserve">the date this status was granted</w:t>
      </w:r>
    </w:p>
    <w:p>
      <w:pPr>
        <w:pStyle w:val="Heading2"/>
      </w:pPr>
      <w:r>
        <w:t xml:space="preserve">Obligation</w:t>
      </w:r>
    </w:p>
    <w:p>
      <w:r>
        <w:t xml:space="preserve">Mandatory completion. The value is automatically generated by METEOR as a result of the actions of metadata developers or registrars to change the registration status of a metadata item (i.e. by clicking the action </w:t>
      </w:r>
      <w:r>
        <w:rPr>
          <w:i/>
        </w:rPr>
        <w:t xml:space="preserve">Change registration status </w:t>
      </w:r>
      <w:r>
        <w:t xml:space="preserve">or </w:t>
      </w:r>
      <w:r>
        <w:rPr>
          <w:i/>
        </w:rPr>
        <w:t xml:space="preserve">Undo last registration change</w:t>
      </w:r>
      <w:r>
        <w:t xml:space="preserve">)</w:t>
      </w:r>
    </w:p>
    <w:p>
      <w:pPr>
        <w:pStyle w:val="Heading2"/>
      </w:pPr>
      <w:r>
        <w:t xml:space="preserve">Development rules</w:t>
      </w:r>
    </w:p>
    <w:p>
      <w:r>
        <w:t xml:space="preserve">A registration authority is an organisation recognised by METEOR as able to create (through approval) new metadata content.</w:t>
      </w:r>
    </w:p>
    <w:p>
      <w:r>
        <w:t xml:space="preserve">The registration authorities currently available within METEOR are listed in the Table 1 below. (New registration authorities may be introduced into METEOR in the future).</w:t>
      </w:r>
    </w:p>
    <w:p>
      <w:r>
        <w:t xml:space="preserve">The registration status values are listed in Table 2 below.</w:t>
      </w:r>
    </w:p>
    <w:p>
      <w:r>
        <w:t xml:space="preserve">Each registration status is associated with a registration date.</w:t>
      </w:r>
    </w:p>
    <w:p>
      <w:r>
        <w:t xml:space="preserve">The registration date is decided by a relevant committee e.g. a registration authority or its representatives.</w:t>
      </w:r>
    </w:p>
    <w:p>
      <w:r>
        <w:t xml:space="preserve">Each registration status is associated with a statement of authorisation.</w:t>
      </w:r>
    </w:p>
    <w:p>
      <w:r>
        <w:t xml:space="preserve">Each metadata item may have more than one registration status value recorded if processed by more than one registration authority.</w:t>
      </w:r>
    </w:p>
    <w:p>
      <w:r>
        <w:t xml:space="preserve">The authorisation state the authority and date upon which the decision for a registration status change was made. For example: “Endorsed at [Committee] meeting, 4 May 2022.” </w:t>
      </w:r>
    </w:p>
    <w:p>
      <w:r>
        <w:t xml:space="preserve">A metadata item with a registration status of </w:t>
      </w:r>
      <w:r>
        <w:rPr>
          <w:i/>
        </w:rPr>
        <w:t xml:space="preserve">Superseded</w:t>
      </w:r>
      <w:r>
        <w:t xml:space="preserve"> must also have a related metadata relationship of </w:t>
      </w:r>
      <w:r>
        <w:rPr>
          <w:i/>
        </w:rPr>
        <w:t xml:space="preserve">Is superseded by.</w:t>
      </w:r>
    </w:p>
    <w:p>
      <w:r>
        <w:rPr>
          <w:b/>
        </w:rPr>
        <w:t xml:space="preserve">Table 1: Registration authorities (RA)</w:t>
      </w:r>
    </w:p>
    <w:tbl>
      <w:tblPr>
        <w:tblStyle w:val="TableGrid"/>
        <w:tblW w:w="5000" w:type="pct"/>
        <w:tblLayout w:type="fixed"/>
      </w:tblPr>
      <w:tblGrid>
        <w:gridCol/>
        <w:gridCol/>
      </w:tblGrid>
      <w:tr>
        <w:trPr/>
        <w:tc>
          <w:tcPr>
            <w:vAlign w:val="top"/>
          </w:tcPr>
          <w:p>
            <w:r>
              <w:rPr>
                <w:b/>
              </w:rPr>
              <w:t xml:space="preserve">National registration authority sector</w:t>
            </w:r>
          </w:p>
        </w:tc>
        <w:tc>
          <w:tcPr>
            <w:vAlign w:val="top"/>
          </w:tcPr>
          <w:p>
            <w:r>
              <w:rPr>
                <w:b/>
              </w:rPr>
              <w:t xml:space="preserve">Registrar/Control Committee</w:t>
            </w:r>
          </w:p>
        </w:tc>
      </w:tr>
      <w:tr>
        <w:trPr/>
        <w:tc>
          <w:tcPr>
            <w:vAlign w:val="top"/>
          </w:tcPr>
          <w:p>
            <w:r>
              <w:t xml:space="preserve">AIHW Data Quality Statements</w:t>
            </w:r>
          </w:p>
        </w:tc>
        <w:tc>
          <w:tcPr>
            <w:vAlign w:val="top"/>
          </w:tcPr>
          <w:p>
            <w:r>
              <w:t xml:space="preserve">Executive committee of the AIHW</w:t>
            </w:r>
          </w:p>
        </w:tc>
      </w:tr>
      <w:tr>
        <w:trPr/>
        <w:tc>
          <w:tcPr>
            <w:vAlign w:val="top"/>
          </w:tcPr>
          <w:p>
            <w:r>
              <w:t xml:space="preserve">Australian Commission on Safety and Quality in Health Care</w:t>
            </w:r>
          </w:p>
        </w:tc>
        <w:tc>
          <w:tcPr>
            <w:vAlign w:val="top"/>
          </w:tcPr>
          <w:p>
            <w:r>
              <w:t xml:space="preserve">The Commission's METeOR Registration Authority internal governance committee</w:t>
            </w:r>
          </w:p>
        </w:tc>
      </w:tr>
      <w:tr>
        <w:trPr/>
        <w:tc>
          <w:tcPr>
            <w:vAlign w:val="top"/>
          </w:tcPr>
          <w:p>
            <w:r>
              <w:t xml:space="preserve">Children and Families</w:t>
            </w:r>
          </w:p>
        </w:tc>
        <w:tc>
          <w:tcPr>
            <w:vAlign w:val="top"/>
          </w:tcPr>
          <w:p>
            <w:r>
              <w:t xml:space="preserve">Children and Families Data Network</w:t>
            </w:r>
          </w:p>
        </w:tc>
      </w:tr>
      <w:tr>
        <w:trPr/>
        <w:tc>
          <w:tcPr>
            <w:vAlign w:val="top"/>
          </w:tcPr>
          <w:p>
            <w:r>
              <w:t xml:space="preserve">Commonwealth Department of Health</w:t>
            </w:r>
          </w:p>
        </w:tc>
        <w:tc>
          <w:tcPr>
            <w:vAlign w:val="top"/>
          </w:tcPr>
          <w:p>
            <w:r>
              <w:t xml:space="preserve">Department's Data Governance Council, under the auspices of the National Health Reform Enterprise Data Warehouse Board</w:t>
            </w:r>
          </w:p>
        </w:tc>
      </w:tr>
      <w:tr>
        <w:trPr/>
        <w:tc>
          <w:tcPr>
            <w:vAlign w:val="top"/>
          </w:tcPr>
          <w:p>
            <w:r>
              <w:t xml:space="preserve">Disability</w:t>
            </w:r>
          </w:p>
        </w:tc>
        <w:tc>
          <w:tcPr>
            <w:vAlign w:val="top"/>
          </w:tcPr>
          <w:p>
            <w:r>
              <w:t xml:space="preserve">Research and Data Working Group</w:t>
            </w:r>
          </w:p>
        </w:tc>
      </w:tr>
      <w:tr>
        <w:trPr/>
        <w:tc>
          <w:tcPr>
            <w:vAlign w:val="top"/>
          </w:tcPr>
          <w:p>
            <w:r>
              <w:t xml:space="preserve">Early Childhood</w:t>
            </w:r>
          </w:p>
        </w:tc>
        <w:tc>
          <w:tcPr>
            <w:vAlign w:val="top"/>
          </w:tcPr>
          <w:p>
            <w:r>
              <w:t xml:space="preserve">The Australian Education Senior Officials Committee</w:t>
            </w:r>
          </w:p>
        </w:tc>
      </w:tr>
      <w:tr>
        <w:trPr/>
        <w:tc>
          <w:tcPr>
            <w:vAlign w:val="top"/>
          </w:tcPr>
          <w:p>
            <w:r>
              <w:t xml:space="preserve">Health</w:t>
            </w:r>
          </w:p>
        </w:tc>
        <w:tc>
          <w:tcPr>
            <w:vAlign w:val="top"/>
          </w:tcPr>
          <w:p>
            <w:r>
              <w:t xml:space="preserve">National Health Information and Performance Principal Committee</w:t>
            </w:r>
          </w:p>
        </w:tc>
      </w:tr>
      <w:tr>
        <w:trPr/>
        <w:tc>
          <w:tcPr>
            <w:vAlign w:val="top"/>
          </w:tcPr>
          <w:p>
            <w:r>
              <w:t xml:space="preserve">Homelessness</w:t>
            </w:r>
          </w:p>
        </w:tc>
        <w:tc>
          <w:tcPr>
            <w:vAlign w:val="top"/>
          </w:tcPr>
          <w:p>
            <w:r>
              <w:t xml:space="preserve">Housing and Homelessness Data Network</w:t>
            </w:r>
          </w:p>
        </w:tc>
      </w:tr>
      <w:tr>
        <w:trPr/>
        <w:tc>
          <w:tcPr>
            <w:vAlign w:val="top"/>
          </w:tcPr>
          <w:p>
            <w:r>
              <w:t xml:space="preserve">Housing assistance</w:t>
            </w:r>
          </w:p>
        </w:tc>
        <w:tc>
          <w:tcPr>
            <w:vAlign w:val="top"/>
          </w:tcPr>
          <w:p>
            <w:r>
              <w:t xml:space="preserve">Housing and Homelessness Data Network</w:t>
            </w:r>
          </w:p>
        </w:tc>
      </w:tr>
      <w:tr>
        <w:trPr/>
        <w:tc>
          <w:tcPr>
            <w:vAlign w:val="top"/>
          </w:tcPr>
          <w:p>
            <w:r>
              <w:t xml:space="preserve">Independent Hospital Pricing Authority</w:t>
            </w:r>
          </w:p>
        </w:tc>
        <w:tc>
          <w:tcPr>
            <w:vAlign w:val="top"/>
          </w:tcPr>
          <w:p>
            <w:r>
              <w:t xml:space="preserve">Jurisdictional Advisory Committee</w:t>
            </w:r>
          </w:p>
        </w:tc>
      </w:tr>
      <w:tr>
        <w:trPr/>
        <w:tc>
          <w:tcPr>
            <w:vAlign w:val="top"/>
          </w:tcPr>
          <w:p>
            <w:r>
              <w:t xml:space="preserve">Indigenous</w:t>
            </w:r>
          </w:p>
        </w:tc>
        <w:tc>
          <w:tcPr>
            <w:vAlign w:val="top"/>
          </w:tcPr>
          <w:p>
            <w:r>
              <w:t xml:space="preserve">Executive committee of the AIHW following endorsement by various sector specific committees such as NIRAPIMG, NAGATSIHID, NHIPPC, ECDWG, and the HHIMG.</w:t>
            </w:r>
          </w:p>
        </w:tc>
      </w:tr>
      <w:tr>
        <w:trPr/>
        <w:tc>
          <w:tcPr>
            <w:vAlign w:val="top"/>
          </w:tcPr>
          <w:p>
            <w:r>
              <w:t xml:space="preserve">Tasmanian Health</w:t>
            </w:r>
          </w:p>
        </w:tc>
        <w:tc>
          <w:tcPr>
            <w:vAlign w:val="top"/>
          </w:tcPr>
          <w:p>
            <w:r>
              <w:t xml:space="preserve">Tasmanian Department of Health and Human Services</w:t>
            </w:r>
          </w:p>
        </w:tc>
      </w:tr>
      <w:tr>
        <w:trPr/>
        <w:tc>
          <w:tcPr>
            <w:vAlign w:val="top"/>
          </w:tcPr>
          <w:p>
            <w:r>
              <w:t xml:space="preserve">WA Health</w:t>
            </w:r>
          </w:p>
        </w:tc>
        <w:tc>
          <w:tcPr>
            <w:vAlign w:val="top"/>
          </w:tcPr>
          <w:p>
            <w:r>
              <w:t xml:space="preserve">Department of Health Western Australia </w:t>
            </w:r>
          </w:p>
        </w:tc>
      </w:tr>
      <w:tr>
        <w:trPr/>
        <w:tc>
          <w:tcPr>
            <w:vAlign w:val="top"/>
          </w:tcPr>
          <w:p>
            <w:r>
              <w:t xml:space="preserve">Youth Justice</w:t>
            </w:r>
          </w:p>
        </w:tc>
        <w:tc>
          <w:tcPr>
            <w:vAlign w:val="top"/>
          </w:tcPr>
          <w:p>
            <w:r>
              <w:t xml:space="preserve">Australasian Youth Justice Administrators (AYJA)</w:t>
            </w:r>
          </w:p>
        </w:tc>
      </w:tr>
      <w:tr>
        <w:trPr/>
        <w:tc>
          <w:tcPr>
            <w:gridSpan w:val="2"/>
            <w:vAlign w:val="top"/>
          </w:tcPr>
          <w:p>
            <w:r>
              <w:rPr>
                <w:b/>
              </w:rPr>
              <w:t xml:space="preserve">Retired Registrar/Control Committee</w:t>
            </w:r>
          </w:p>
        </w:tc>
      </w:tr>
      <w:tr>
        <w:trPr/>
        <w:tc>
          <w:tcPr>
            <w:vAlign w:val="top"/>
          </w:tcPr>
          <w:p>
            <w:r>
              <w:t xml:space="preserve">ACT Health</w:t>
            </w:r>
          </w:p>
        </w:tc>
        <w:tc>
          <w:tcPr>
            <w:vAlign w:val="top"/>
          </w:tcPr>
          <w:p>
            <w:r>
              <w:t xml:space="preserve">ACT Health</w:t>
            </w:r>
          </w:p>
        </w:tc>
      </w:tr>
      <w:tr>
        <w:trPr/>
        <w:tc>
          <w:tcPr>
            <w:vAlign w:val="top"/>
          </w:tcPr>
          <w:p>
            <w:r>
              <w:t xml:space="preserve">Commonwealth Department of Social Services</w:t>
            </w:r>
          </w:p>
        </w:tc>
        <w:tc>
          <w:tcPr>
            <w:vAlign w:val="top"/>
          </w:tcPr>
          <w:p>
            <w:r>
              <w:t xml:space="preserve">Department’s Data Governance Committee</w:t>
            </w:r>
          </w:p>
        </w:tc>
      </w:tr>
      <w:tr>
        <w:trPr/>
        <w:tc>
          <w:tcPr>
            <w:vAlign w:val="top"/>
          </w:tcPr>
          <w:p>
            <w:r>
              <w:t xml:space="preserve">Community Services</w:t>
            </w:r>
          </w:p>
        </w:tc>
        <w:tc>
          <w:tcPr>
            <w:vAlign w:val="top"/>
          </w:tcPr>
          <w:p>
            <w:r>
              <w:t xml:space="preserve">The former Research, Evaluation and Data Working Group (previously the National Community Services Information Management Group)</w:t>
            </w:r>
          </w:p>
        </w:tc>
      </w:tr>
      <w:tr>
        <w:trPr/>
        <w:tc>
          <w:tcPr>
            <w:vAlign w:val="top"/>
          </w:tcPr>
          <w:p>
            <w:r>
              <w:t xml:space="preserve">National Health Performance Authority</w:t>
            </w:r>
          </w:p>
        </w:tc>
        <w:tc>
          <w:tcPr>
            <w:vAlign w:val="top"/>
          </w:tcPr>
          <w:p>
            <w:r>
              <w:t xml:space="preserve">Nominated committee within the former National Health Performance Authority</w:t>
            </w:r>
          </w:p>
        </w:tc>
      </w:tr>
    </w:tbl>
    <w:p>
      <w:r>
        <w:t xml:space="preserve"> </w:t>
      </w:r>
    </w:p>
    <w:p>
      <w:r>
        <w:t xml:space="preserve"> </w:t>
      </w:r>
    </w:p>
    <w:p>
      <w:r>
        <w:rPr>
          <w:b/>
        </w:rPr>
        <w:t xml:space="preserve">Table 2: Registration status values and their associated meanings.</w:t>
      </w:r>
    </w:p>
    <w:tbl>
      <w:tblPr>
        <w:tblStyle w:val="TableGrid"/>
        <w:tblW w:w="0" w:type="auto"/>
      </w:tblPr>
      <w:tblGrid>
        <w:gridCol/>
        <w:gridCol/>
        <w:gridCol/>
      </w:tblGrid>
      <w:tr>
        <w:trPr/>
        <w:tc>
          <w:tcPr>
            <w:vAlign w:val="top"/>
          </w:tcPr>
          <w:p>
            <w:r>
              <w:rPr>
                <w:b/>
              </w:rPr>
              <w:t xml:space="preserve">Registration status</w:t>
            </w:r>
          </w:p>
        </w:tc>
        <w:tc>
          <w:tcPr>
            <w:vAlign w:val="top"/>
          </w:tcPr>
          <w:p>
            <w:r>
              <w:rPr>
                <w:b/>
              </w:rPr>
              <w:t xml:space="preserve">Meaning</w:t>
            </w:r>
          </w:p>
        </w:tc>
        <w:tc>
          <w:tcPr>
            <w:vAlign w:val="top"/>
          </w:tcPr>
          <w:p>
            <w:r>
              <w:rPr>
                <w:b/>
              </w:rPr>
              <w:t xml:space="preserve">Administration </w:t>
            </w:r>
          </w:p>
        </w:tc>
      </w:tr>
      <w:tr>
        <w:trPr/>
        <w:tc>
          <w:tcPr>
            <w:vAlign w:val="top"/>
          </w:tcPr>
          <w:p>
            <w:r>
              <w:rPr>
                <w:b/>
              </w:rPr>
              <w:t xml:space="preserve">Unregistered/ </w:t>
            </w:r>
          </w:p>
          <w:p>
            <w:r>
              <w:rPr>
                <w:b/>
              </w:rPr>
              <w:t xml:space="preserve">No registration status</w:t>
            </w:r>
          </w:p>
        </w:tc>
        <w:tc>
          <w:tcPr>
            <w:vAlign w:val="top"/>
          </w:tcPr>
          <w:p>
            <w:r>
              <w:t xml:space="preserve">Status on initial creation.</w:t>
            </w:r>
          </w:p>
          <w:p>
            <w:r>
              <w:rPr>
                <w:i/>
              </w:rPr>
              <w:t xml:space="preserve">[11179 definition: Submitter wishes to make the community that uses this metadata register aware of the existence of an Administered Item in their local domain.]</w:t>
            </w:r>
          </w:p>
        </w:tc>
        <w:tc>
          <w:tcPr>
            <w:vAlign w:val="top"/>
          </w:tcPr>
          <w:p>
            <w:r>
              <w:t xml:space="preserve">Visibility:</w:t>
            </w:r>
            <w:r>
              <w:br/>
            </w:r>
            <w:r>
              <w:t xml:space="preserve">Developers and Registrars</w:t>
            </w:r>
          </w:p>
          <w:p>
            <w:r>
              <w:t xml:space="preserve">Editable:</w:t>
            </w:r>
            <w:r>
              <w:br/>
            </w:r>
            <w:r>
              <w:t xml:space="preserve">Developers and Registrars</w:t>
            </w:r>
          </w:p>
          <w:p>
            <w:r>
              <w:t xml:space="preserve">Registration progression:</w:t>
            </w:r>
            <w:r>
              <w:br/>
            </w:r>
            <w:r>
              <w:t xml:space="preserve">Developers and Registrars</w:t>
            </w:r>
          </w:p>
        </w:tc>
      </w:tr>
      <w:tr>
        <w:trPr/>
        <w:tc>
          <w:tcPr>
            <w:vAlign w:val="top"/>
          </w:tcPr>
          <w:p>
            <w:r>
              <w:rPr>
                <w:b/>
              </w:rPr>
              <w:t xml:space="preserve">Incomplete</w:t>
            </w:r>
          </w:p>
        </w:tc>
        <w:tc>
          <w:tcPr>
            <w:vAlign w:val="top"/>
          </w:tcPr>
          <w:p>
            <w:r>
              <w:t xml:space="preserve">A developer has submitted this item for consideration by the registrar.</w:t>
            </w:r>
          </w:p>
          <w:p>
            <w:r>
              <w:rPr>
                <w:i/>
              </w:rPr>
              <w:t xml:space="preserve">[11179 definition: Submitter wishes to make the community that uses this metadata register aware of the existence of an Administered Item in their local domain.]</w:t>
            </w:r>
          </w:p>
        </w:tc>
        <w:tc>
          <w:tcPr>
            <w:vAlign w:val="top"/>
          </w:tcPr>
          <w:p>
            <w:r>
              <w:t xml:space="preserve">Visibility:</w:t>
            </w:r>
            <w:r>
              <w:br/>
            </w:r>
            <w:r>
              <w:t xml:space="preserve">Developers and Registrars</w:t>
            </w:r>
          </w:p>
          <w:p>
            <w:r>
              <w:t xml:space="preserve">Editable:</w:t>
            </w:r>
            <w:r>
              <w:br/>
            </w:r>
            <w:r>
              <w:t xml:space="preserve">Developers and Registrars</w:t>
            </w:r>
          </w:p>
          <w:p>
            <w:r>
              <w:t xml:space="preserve">Registration progression:</w:t>
            </w:r>
            <w:r>
              <w:br/>
            </w:r>
            <w:r>
              <w:t xml:space="preserve">Registrar only.</w:t>
            </w:r>
            <w:r>
              <w:br/>
            </w:r>
            <w:r>
              <w:t xml:space="preserve"> </w:t>
            </w:r>
          </w:p>
        </w:tc>
      </w:tr>
      <w:tr>
        <w:trPr/>
        <w:tc>
          <w:tcPr>
            <w:vAlign w:val="top"/>
          </w:tcPr>
          <w:p>
            <w:r>
              <w:rPr>
                <w:b/>
              </w:rPr>
              <w:t xml:space="preserve">Candidate</w:t>
            </w:r>
          </w:p>
        </w:tc>
        <w:tc>
          <w:tcPr>
            <w:vAlign w:val="top"/>
          </w:tcPr>
          <w:p>
            <w:r>
              <w:t xml:space="preserve">The item has been reviewed by a data committee and has been accepted onto their work program.</w:t>
            </w:r>
          </w:p>
          <w:p>
            <w:r>
              <w:rPr>
                <w:i/>
              </w:rPr>
              <w:t xml:space="preserve">[11179 definition: The Administered Item has been proposed for progression through the registration levels.]</w:t>
            </w:r>
          </w:p>
        </w:tc>
        <w:tc>
          <w:tcPr>
            <w:vAlign w:val="top"/>
          </w:tcPr>
          <w:p>
            <w:r>
              <w:t xml:space="preserve">Visibility:</w:t>
            </w:r>
            <w:r>
              <w:br/>
            </w:r>
            <w:r>
              <w:t xml:space="preserve">Developers and Registrars</w:t>
            </w:r>
          </w:p>
          <w:p>
            <w:r>
              <w:t xml:space="preserve">Editable:</w:t>
            </w:r>
            <w:r>
              <w:br/>
            </w:r>
            <w:r>
              <w:t xml:space="preserve">Developers and Registrars</w:t>
            </w:r>
          </w:p>
          <w:p>
            <w:r>
              <w:t xml:space="preserve">Registration progression:</w:t>
            </w:r>
            <w:r>
              <w:br/>
            </w:r>
            <w:r>
              <w:t xml:space="preserve">Registrar only.</w:t>
            </w:r>
            <w:r>
              <w:br/>
            </w:r>
            <w:r>
              <w:t xml:space="preserve"> </w:t>
            </w:r>
          </w:p>
        </w:tc>
      </w:tr>
      <w:tr>
        <w:trPr/>
        <w:tc>
          <w:tcPr>
            <w:vAlign w:val="top"/>
          </w:tcPr>
          <w:p>
            <w:r>
              <w:rPr>
                <w:b/>
              </w:rPr>
              <w:t xml:space="preserve">Recorded</w:t>
            </w:r>
          </w:p>
        </w:tc>
        <w:tc>
          <w:tcPr>
            <w:vAlign w:val="top"/>
          </w:tcPr>
          <w:p>
            <w:r>
              <w:t xml:space="preserve">The registrar has determined that the item meets basic quality criteria and is ready for consideration by the relevant data committee.</w:t>
            </w:r>
          </w:p>
          <w:p>
            <w:r>
              <w:rPr>
                <w:i/>
              </w:rPr>
              <w:t xml:space="preserve">[11179 definition: The Registration Authority has confirmed that — all mandatory metadata attributes have been completed.]</w:t>
            </w:r>
          </w:p>
        </w:tc>
        <w:tc>
          <w:tcPr>
            <w:vAlign w:val="top"/>
          </w:tcPr>
          <w:p>
            <w:r>
              <w:t xml:space="preserve">Visibility:</w:t>
            </w:r>
            <w:r>
              <w:br/>
            </w:r>
            <w:r>
              <w:t xml:space="preserve">Public</w:t>
            </w:r>
          </w:p>
          <w:p>
            <w:r>
              <w:t xml:space="preserve">Editable:</w:t>
            </w:r>
            <w:r>
              <w:br/>
            </w:r>
            <w:r>
              <w:t xml:space="preserve">Developers and Registrars</w:t>
            </w:r>
          </w:p>
          <w:p>
            <w:r>
              <w:t xml:space="preserve">Registration progression:</w:t>
            </w:r>
            <w:r>
              <w:br/>
            </w:r>
            <w:r>
              <w:t xml:space="preserve">Registrar only.</w:t>
            </w:r>
            <w:r>
              <w:br/>
            </w:r>
            <w:r>
              <w:t xml:space="preserve"> </w:t>
            </w:r>
          </w:p>
        </w:tc>
      </w:tr>
      <w:tr>
        <w:trPr/>
        <w:tc>
          <w:tcPr>
            <w:vAlign w:val="top"/>
          </w:tcPr>
          <w:p>
            <w:r>
              <w:rPr>
                <w:b/>
              </w:rPr>
              <w:t xml:space="preserve">Qualified</w:t>
            </w:r>
          </w:p>
        </w:tc>
        <w:tc>
          <w:tcPr>
            <w:vAlign w:val="top"/>
          </w:tcPr>
          <w:p>
            <w:r>
              <w:t xml:space="preserve">A data committee has recommended the item to a Registration authority for approval as a Standard.</w:t>
            </w:r>
          </w:p>
          <w:p>
            <w:r>
              <w:rPr>
                <w:i/>
              </w:rPr>
              <w:t xml:space="preserve">[11179 definition: The Registration Authority has confirmed that </w:t>
            </w:r>
          </w:p>
          <w:p>
            <w:pPr>
              <w:pStyle w:val="ListParagraph"/>
              <w:numPr>
                <w:ilvl w:val="0"/>
                <w:numId w:val="3"/>
              </w:numPr>
            </w:pPr>
            <w:r>
              <w:rPr>
                <w:i/>
              </w:rPr>
              <w:t xml:space="preserve">the mandatory metadata attributes are complete and;</w:t>
            </w:r>
          </w:p>
          <w:p>
            <w:r>
              <w:rPr>
                <w:i/>
              </w:rPr>
              <w:t xml:space="preserve">the mandatory metadata attributes conform to applicable quality requirements.]</w:t>
            </w:r>
          </w:p>
        </w:tc>
        <w:tc>
          <w:tcPr>
            <w:vAlign w:val="top"/>
          </w:tcPr>
          <w:p>
            <w:r>
              <w:t xml:space="preserve">Visibility:</w:t>
            </w:r>
            <w:r>
              <w:br/>
            </w:r>
            <w:r>
              <w:t xml:space="preserve">Public</w:t>
            </w:r>
          </w:p>
          <w:p>
            <w:r>
              <w:t xml:space="preserve">Editable:</w:t>
            </w:r>
            <w:r>
              <w:br/>
            </w:r>
            <w:r>
              <w:t xml:space="preserve">Registrar only.</w:t>
            </w:r>
          </w:p>
          <w:p>
            <w:r>
              <w:t xml:space="preserve">Registration progression:</w:t>
            </w:r>
            <w:r>
              <w:br/>
            </w:r>
            <w:r>
              <w:t xml:space="preserve">Registrar only.</w:t>
            </w:r>
            <w:r>
              <w:br/>
            </w:r>
            <w:r>
              <w:t xml:space="preserve"> </w:t>
            </w:r>
          </w:p>
        </w:tc>
      </w:tr>
      <w:tr>
        <w:trPr/>
        <w:tc>
          <w:tcPr>
            <w:vAlign w:val="top"/>
          </w:tcPr>
          <w:p>
            <w:r>
              <w:rPr>
                <w:b/>
              </w:rPr>
              <w:t xml:space="preserve">Standard</w:t>
            </w:r>
          </w:p>
        </w:tc>
        <w:tc>
          <w:tcPr>
            <w:vAlign w:val="top"/>
          </w:tcPr>
          <w:p>
            <w:r>
              <w:t xml:space="preserve">The item has been endorsed by a Registration Authority as a data standard.</w:t>
            </w:r>
          </w:p>
          <w:p>
            <w:r>
              <w:rPr>
                <w:i/>
              </w:rPr>
              <w:t xml:space="preserve">[11179 definition: The Registration Authority confirms that the Administered Item is:</w:t>
            </w:r>
          </w:p>
          <w:p>
            <w:pPr>
              <w:pStyle w:val="ListParagraph"/>
              <w:numPr>
                <w:ilvl w:val="0"/>
                <w:numId w:val="4"/>
              </w:numPr>
            </w:pPr>
            <w:r>
              <w:rPr>
                <w:i/>
              </w:rPr>
              <w:t xml:space="preserve">of sufficient quality and</w:t>
            </w:r>
          </w:p>
          <w:p>
            <w:pPr>
              <w:pStyle w:val="ListParagraph"/>
              <w:numPr>
                <w:ilvl w:val="0"/>
                <w:numId w:val="4"/>
              </w:numPr>
            </w:pPr>
            <w:r>
              <w:rPr>
                <w:i/>
              </w:rPr>
              <w:t xml:space="preserve">of broad interest for use</w:t>
            </w:r>
          </w:p>
          <w:p>
            <w:r>
              <w:rPr>
                <w:i/>
              </w:rPr>
              <w:t xml:space="preserve">in the community that uses this metadata register.]</w:t>
            </w:r>
          </w:p>
        </w:tc>
        <w:tc>
          <w:tcPr>
            <w:vAlign w:val="top"/>
          </w:tcPr>
          <w:p>
            <w:r>
              <w:t xml:space="preserve">Visibility:</w:t>
            </w:r>
            <w:r>
              <w:br/>
            </w:r>
            <w:r>
              <w:t xml:space="preserve">Public</w:t>
            </w:r>
          </w:p>
          <w:p>
            <w:r>
              <w:t xml:space="preserve">Editable:</w:t>
            </w:r>
            <w:r>
              <w:br/>
            </w:r>
            <w:r>
              <w:t xml:space="preserve">Registrar only.</w:t>
            </w:r>
          </w:p>
          <w:p>
            <w:r>
              <w:t xml:space="preserve">Registration progression:</w:t>
            </w:r>
            <w:r>
              <w:br/>
            </w:r>
            <w:r>
              <w:t xml:space="preserve">Registrar only.</w:t>
            </w:r>
            <w:r>
              <w:br/>
            </w:r>
            <w:r>
              <w:t xml:space="preserve"> </w:t>
            </w:r>
          </w:p>
        </w:tc>
      </w:tr>
      <w:tr>
        <w:trPr/>
        <w:tc>
          <w:tcPr>
            <w:vAlign w:val="top"/>
          </w:tcPr>
          <w:p>
            <w:r>
              <w:rPr>
                <w:b/>
              </w:rPr>
              <w:t xml:space="preserve">Preferred Standard</w:t>
            </w:r>
          </w:p>
        </w:tc>
        <w:tc>
          <w:tcPr>
            <w:vAlign w:val="top"/>
          </w:tcPr>
          <w:p>
            <w:r>
              <w:t xml:space="preserve">Where more than one similar data standard is available, the Registration Authority recommends this as the preferred standard</w:t>
            </w:r>
          </w:p>
          <w:p>
            <w:r>
              <w:rPr>
                <w:i/>
              </w:rPr>
              <w:t xml:space="preserve">[11179 definition: The Registration Authority confirms that the Administered Item is preferred for use within the community that uses this metadata register.]</w:t>
            </w:r>
          </w:p>
        </w:tc>
        <w:tc>
          <w:tcPr>
            <w:vAlign w:val="top"/>
          </w:tcPr>
          <w:p>
            <w:r>
              <w:t xml:space="preserve">Visibility:</w:t>
            </w:r>
            <w:r>
              <w:br/>
            </w:r>
            <w:r>
              <w:t xml:space="preserve">Public</w:t>
            </w:r>
          </w:p>
          <w:p>
            <w:r>
              <w:t xml:space="preserve">Editable:</w:t>
            </w:r>
            <w:r>
              <w:br/>
            </w:r>
            <w:r>
              <w:t xml:space="preserve">Registrar only.</w:t>
            </w:r>
          </w:p>
          <w:p>
            <w:r>
              <w:t xml:space="preserve">Registration progression:</w:t>
            </w:r>
            <w:r>
              <w:br/>
            </w:r>
            <w:r>
              <w:t xml:space="preserve">Registrar only.</w:t>
            </w:r>
            <w:r>
              <w:br/>
            </w:r>
            <w:r>
              <w:t xml:space="preserve"> </w:t>
            </w:r>
          </w:p>
        </w:tc>
      </w:tr>
      <w:tr>
        <w:trPr/>
        <w:tc>
          <w:tcPr>
            <w:vAlign w:val="top"/>
          </w:tcPr>
          <w:p>
            <w:r>
              <w:rPr>
                <w:b/>
              </w:rPr>
              <w:t xml:space="preserve">Superseded</w:t>
            </w:r>
          </w:p>
        </w:tc>
        <w:tc>
          <w:tcPr>
            <w:vAlign w:val="top"/>
          </w:tcPr>
          <w:p>
            <w:r>
              <w:t xml:space="preserve">A registration authority has superseded this item with another standard.</w:t>
            </w:r>
          </w:p>
          <w:p>
            <w:r>
              <w:rPr>
                <w:i/>
              </w:rPr>
              <w:t xml:space="preserve">[11179 definition: The Registration Authority determined that the Administered Item is:</w:t>
            </w:r>
          </w:p>
          <w:p>
            <w:pPr>
              <w:pStyle w:val="ListParagraph"/>
              <w:numPr>
                <w:ilvl w:val="0"/>
                <w:numId w:val="5"/>
              </w:numPr>
            </w:pPr>
            <w:r>
              <w:rPr>
                <w:i/>
              </w:rPr>
              <w:t xml:space="preserve">no longer recommended for use by the community that uses this metadata register, and</w:t>
            </w:r>
          </w:p>
          <w:p>
            <w:pPr>
              <w:pStyle w:val="ListParagraph"/>
              <w:numPr>
                <w:ilvl w:val="0"/>
                <w:numId w:val="5"/>
              </w:numPr>
            </w:pPr>
            <w:r>
              <w:rPr>
                <w:i/>
              </w:rPr>
              <w:t xml:space="preserve">a successor Administered Item is now preferred for use.]</w:t>
            </w:r>
          </w:p>
          <w:p>
            <w:r>
              <w:t xml:space="preserve"> </w:t>
            </w:r>
          </w:p>
        </w:tc>
        <w:tc>
          <w:tcPr>
            <w:vAlign w:val="top"/>
          </w:tcPr>
          <w:p>
            <w:r>
              <w:t xml:space="preserve">Visibility:</w:t>
            </w:r>
            <w:r>
              <w:br/>
            </w:r>
            <w:r>
              <w:t xml:space="preserve">Public</w:t>
            </w:r>
          </w:p>
          <w:p>
            <w:r>
              <w:t xml:space="preserve">Editable:</w:t>
            </w:r>
            <w:r>
              <w:br/>
            </w:r>
            <w:r>
              <w:t xml:space="preserve">Registrar only.</w:t>
            </w:r>
          </w:p>
          <w:p>
            <w:r>
              <w:t xml:space="preserve">Registration progression:</w:t>
            </w:r>
            <w:r>
              <w:br/>
            </w:r>
            <w:r>
              <w:t xml:space="preserve">Registrar only.</w:t>
            </w:r>
            <w:r>
              <w:br/>
            </w:r>
            <w:r>
              <w:t xml:space="preserve"> </w:t>
            </w:r>
          </w:p>
        </w:tc>
      </w:tr>
      <w:tr>
        <w:trPr/>
        <w:tc>
          <w:tcPr>
            <w:vAlign w:val="top"/>
          </w:tcPr>
          <w:p>
            <w:r>
              <w:rPr>
                <w:b/>
              </w:rPr>
              <w:t xml:space="preserve">Retired</w:t>
            </w:r>
          </w:p>
        </w:tc>
        <w:tc>
          <w:tcPr>
            <w:vAlign w:val="top"/>
          </w:tcPr>
          <w:p>
            <w:r>
              <w:t xml:space="preserve">The item has been nominated by a Registration Authority as retired.</w:t>
            </w:r>
          </w:p>
          <w:p>
            <w:r>
              <w:rPr>
                <w:i/>
              </w:rPr>
              <w:t xml:space="preserve">[11179 definition: The Registration Authority has approved the Administered Item as </w:t>
            </w:r>
          </w:p>
          <w:p>
            <w:r>
              <w:rPr>
                <w:i/>
              </w:rPr>
              <w:t xml:space="preserve">•</w:t>
            </w:r>
            <w:r>
              <w:rPr>
                <w:i/>
              </w:rPr>
              <w:t xml:space="preserve">no longer recommended for use in the community that uses this metadata register and;</w:t>
            </w:r>
          </w:p>
          <w:p>
            <w:r>
              <w:rPr>
                <w:i/>
              </w:rPr>
              <w:t xml:space="preserve">•</w:t>
            </w:r>
            <w:r>
              <w:rPr>
                <w:i/>
              </w:rPr>
              <w:t xml:space="preserve">should no longer be used.]</w:t>
            </w:r>
          </w:p>
        </w:tc>
        <w:tc>
          <w:tcPr>
            <w:vAlign w:val="top"/>
          </w:tcPr>
          <w:p>
            <w:r>
              <w:t xml:space="preserve">Visibility:</w:t>
            </w:r>
            <w:r>
              <w:br/>
            </w:r>
            <w:r>
              <w:t xml:space="preserve">Public</w:t>
            </w:r>
          </w:p>
          <w:p>
            <w:r>
              <w:t xml:space="preserve">Editable:</w:t>
            </w:r>
            <w:r>
              <w:br/>
            </w:r>
            <w:r>
              <w:t xml:space="preserve">Registrar only.</w:t>
            </w:r>
          </w:p>
          <w:p>
            <w:r>
              <w:t xml:space="preserve">Registration progression:</w:t>
            </w:r>
            <w:r>
              <w:br/>
            </w:r>
            <w:r>
              <w:t xml:space="preserve">Registrar only.</w:t>
            </w:r>
            <w:r>
              <w:br/>
            </w:r>
            <w:r>
              <w:t xml:space="preserve"> </w:t>
            </w:r>
          </w:p>
        </w:tc>
      </w:tr>
      <w:tr>
        <w:trPr/>
        <w:tc>
          <w:tcPr>
            <w:vAlign w:val="top"/>
          </w:tcPr>
          <w:p>
            <w:r>
              <w:rPr>
                <w:b/>
              </w:rPr>
              <w:t xml:space="preserve">Not progressed</w:t>
            </w:r>
          </w:p>
        </w:tc>
        <w:tc>
          <w:tcPr>
            <w:vAlign w:val="top"/>
          </w:tcPr>
          <w:p>
            <w:r>
              <w:t xml:space="preserve">The item will no longer be considered by the registrar, a data committee or a Registration authority.</w:t>
            </w:r>
          </w:p>
        </w:tc>
        <w:tc>
          <w:tcPr>
            <w:vAlign w:val="top"/>
          </w:tcPr>
          <w:p>
            <w:r>
              <w:t xml:space="preserve">Visibility:</w:t>
            </w:r>
            <w:r>
              <w:br/>
            </w:r>
            <w:r>
              <w:t xml:space="preserve">Developers and Registrars</w:t>
            </w:r>
          </w:p>
          <w:p>
            <w:r>
              <w:t xml:space="preserve">Editable:</w:t>
            </w:r>
            <w:r>
              <w:br/>
            </w:r>
            <w:r>
              <w:t xml:space="preserve">Registrar only.</w:t>
            </w:r>
          </w:p>
          <w:p>
            <w:r>
              <w:t xml:space="preserve">Registration progression:</w:t>
            </w:r>
            <w:r>
              <w:br/>
            </w:r>
            <w:r>
              <w:t xml:space="preserve">Registrar only.</w:t>
            </w:r>
            <w:r>
              <w:br/>
            </w:r>
            <w:r>
              <w:t xml:space="preserve"> </w:t>
            </w:r>
          </w:p>
        </w:tc>
      </w:tr>
    </w:tbl>
    <w:p>
      <w:r>
        <w:t xml:space="preserve"> </w:t>
      </w:r>
    </w:p>
    <w:p>
      <w:r>
        <w:t xml:space="preserve"> </w:t>
      </w:r>
    </w:p>
    <w:p>
      <w:r>
        <w:br/>
      </w:r>
      <w:r>
        <w:br/>
      </w:r>
    </w:p>
    <w:sectPr>
      <w:footerReference xmlns:r="http://schemas.openxmlformats.org/officeDocument/2006/relationships" w:type="default" r:id="R1044e825af514a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261629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f71c10b4e344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44e825af514a1a" /><Relationship Type="http://schemas.openxmlformats.org/officeDocument/2006/relationships/header" Target="/word/header1.xml" Id="R4d61310b92e44b75" /><Relationship Type="http://schemas.openxmlformats.org/officeDocument/2006/relationships/settings" Target="/word/settings.xml" Id="Raaf82021d14d44ed" /><Relationship Type="http://schemas.openxmlformats.org/officeDocument/2006/relationships/styles" Target="/word/styles.xml" Id="Rbd32079e1481408b" /><Relationship Type="http://schemas.openxmlformats.org/officeDocument/2006/relationships/numbering" Target="/word/numbering.xml" Id="Rb75cc675e8ff4c38" /></Relationships>
</file>

<file path=word/_rels/header1.xml.rels>&#65279;<?xml version="1.0" encoding="utf-8"?><Relationships xmlns="http://schemas.openxmlformats.org/package/2006/relationships"><Relationship Type="http://schemas.openxmlformats.org/officeDocument/2006/relationships/image" Target="/media/image.png" Id="R40f71c10b4e34432" /></Relationships>
</file>