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46c552960a4d11" /></Relationships>
</file>

<file path=word/document.xml><?xml version="1.0" encoding="utf-8"?>
<w:document xmlns:r="http://schemas.openxmlformats.org/officeDocument/2006/relationships" xmlns:w="http://schemas.openxmlformats.org/wordprocessingml/2006/main">
  <w:body>
    <w:p>
      <w:pPr>
        <w:pStyle w:val="Title"/>
      </w:pPr>
      <w:r>
        <w:t>Unit of measure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of measure - Value Domain</w:t>
      </w:r>
    </w:p>
    <w:p>
      <w:r>
        <w:t xml:space="preserve">The following information is applicable to value domains only.</w:t>
      </w:r>
    </w:p>
    <w:p>
      <w:pPr>
        <w:pStyle w:val="Heading2"/>
      </w:pPr>
      <w:r>
        <w:t xml:space="preserve">Definition</w:t>
      </w:r>
    </w:p>
    <w:p>
      <w:r>
        <w:t xml:space="preserve">The actual units in which permissible values are measured.</w:t>
      </w:r>
    </w:p>
    <w:p>
      <w:pPr>
        <w:pStyle w:val="Heading2"/>
      </w:pPr>
      <w:r>
        <w:t xml:space="preserve">Obligation</w:t>
      </w:r>
    </w:p>
    <w:p>
      <w:r>
        <w:t xml:space="preserve">Conditional completion: complete for value domains of representation</w:t>
      </w:r>
      <w:r>
        <w:rPr>
          <w:i/>
        </w:rPr>
        <w:t xml:space="preserve"> </w:t>
      </w:r>
      <w:r>
        <w:t xml:space="preserve">class</w:t>
      </w:r>
      <w:r>
        <w:rPr>
          <w:i/>
        </w:rPr>
        <w:t xml:space="preserve"> </w:t>
      </w:r>
      <w:r>
        <w:t xml:space="preserve">Average or Total.</w:t>
      </w:r>
    </w:p>
    <w:p>
      <w:pPr>
        <w:pStyle w:val="Heading2"/>
      </w:pPr>
      <w:r>
        <w:t xml:space="preserve">Development rules</w:t>
      </w:r>
    </w:p>
    <w:p>
      <w:r>
        <w:t xml:space="preserve">Registrars will assign the unit of measure if the desired unit of measure is not available i.e. a new unit of measure must be created by the Registrar.</w:t>
      </w:r>
    </w:p>
    <w:p>
      <w:r>
        <w:t xml:space="preserve">Valid units of measure are listed in Table 1.</w:t>
      </w:r>
    </w:p>
    <w:p>
      <w:r>
        <w:t xml:space="preserve">If the value domain is of representation class </w:t>
      </w:r>
      <w:r>
        <w:rPr>
          <w:i/>
        </w:rPr>
        <w:t xml:space="preserve">Average</w:t>
      </w:r>
      <w:r>
        <w:t xml:space="preserve"> or </w:t>
      </w:r>
      <w:r>
        <w:rPr>
          <w:i/>
        </w:rPr>
        <w:t xml:space="preserve">Total</w:t>
      </w:r>
      <w:r>
        <w:t xml:space="preserve">, select a unit of measure using the unit of measure table. If no appropriate category exists, propose a new unit of measure using the notes facility. For value domains of representation class </w:t>
      </w:r>
      <w:r>
        <w:rPr>
          <w:i/>
        </w:rPr>
        <w:t xml:space="preserve">Date</w:t>
      </w:r>
      <w:r>
        <w:t xml:space="preserve"> or </w:t>
      </w:r>
      <w:r>
        <w:rPr>
          <w:i/>
        </w:rPr>
        <w:t xml:space="preserve">Time</w:t>
      </w:r>
      <w:r>
        <w:t xml:space="preserve">, the unit of measure is indicated within the format only.</w:t>
      </w:r>
    </w:p>
    <w:p>
      <w:r>
        <w:t xml:space="preserve">Only one unit of measure may be selected. For value domains which store a proportional quantity (e.g. milligram per litre) or a combination of units (e.g. hour and minute), state all units as the unit of measure (e.g. milligram per litre; hour and minute).</w:t>
      </w:r>
    </w:p>
    <w:p>
      <w:r>
        <w:t xml:space="preserve">To propose a new unit of measure, within the propose a new unit of measure text field, state the full name of the unit of measure in singular form, followed by the unit of measure symbol (if one exists) enclosed in parentheses e.g. Gram (g).</w:t>
      </w:r>
    </w:p>
    <w:p>
      <w:r>
        <w:t xml:space="preserve">Capitalise the first letter of the first word only, except when referring to proper nouns e.g. Degree Celsius.</w:t>
      </w:r>
    </w:p>
    <w:p>
      <w:r>
        <w:t xml:space="preserve">A unit of measure symbol should be recognised by an International or Australian standard e.g. ISO 1000, International Committee for Weights and Measures (CIPM), and National Measurement Act 1960.</w:t>
      </w:r>
    </w:p>
    <w:p>
      <w:r>
        <w:t xml:space="preserve">A unit of measure symbol must not symbolise more than one unit of measure within METEOR e.g. m refers to meter, not minute or month This rule does not apply to symbol prefixes (e.g. m also symbolises 0.001 of another unit) and when combined with the unit meter (m), will result in the valid symbol mm.</w:t>
      </w:r>
    </w:p>
    <w:p>
      <w:r>
        <w:t xml:space="preserve">All unit of measure symbols within METEOR must be consistent e.g. m refers to metre while mm symbolises millimetre.</w:t>
      </w:r>
    </w:p>
    <w:p>
      <w:r>
        <w:t xml:space="preserve">To assign a unit of measure to the value domain:</w:t>
      </w:r>
    </w:p>
    <w:p>
      <w:pPr>
        <w:pStyle w:val="ListParagraph"/>
        <w:numPr>
          <w:ilvl w:val="0"/>
          <w:numId w:val="2"/>
        </w:numPr>
      </w:pPr>
      <w:r>
        <w:t xml:space="preserve">Click the drop down menu and select a value from the list.</w:t>
      </w:r>
    </w:p>
    <w:p>
      <w:r>
        <w:rPr>
          <w:b/>
        </w:rPr>
        <w:t xml:space="preserve">Table 1: Units of measure classified by measure</w:t>
      </w:r>
    </w:p>
    <w:tbl>
      <w:tblPr>
        <w:tblStyle w:val="TableGrid"/>
        <w:tblW w:w="0" w:type="auto"/>
      </w:tblPr>
      <w:tblGrid>
        <w:gridCol/>
        <w:gridCol/>
        <w:gridCol/>
      </w:tblGrid>
      <w:tr>
        <w:trPr/>
        <w:tc>
          <w:tcPr>
            <w:vAlign w:val="top"/>
          </w:tcPr>
          <w:p>
            <w:r>
              <w:rPr>
                <w:b/>
              </w:rPr>
              <w:t xml:space="preserve">Measurement</w:t>
            </w:r>
          </w:p>
        </w:tc>
        <w:tc>
          <w:tcPr>
            <w:vAlign w:val="top"/>
          </w:tcPr>
          <w:p>
            <w:r>
              <w:rPr>
                <w:b/>
              </w:rPr>
              <w:t xml:space="preserve">Unit of measurement name</w:t>
            </w:r>
          </w:p>
        </w:tc>
        <w:tc>
          <w:tcPr>
            <w:vAlign w:val="top"/>
          </w:tcPr>
          <w:p>
            <w:r>
              <w:rPr>
                <w:b/>
              </w:rPr>
              <w:t xml:space="preserve">Unit of measure symbol</w:t>
            </w:r>
          </w:p>
        </w:tc>
      </w:tr>
      <w:tr>
        <w:trPr/>
        <w:tc>
          <w:tcPr>
            <w:vAlign w:val="top"/>
          </w:tcPr>
          <w:p>
            <w:r>
              <w:rPr>
                <w:b/>
              </w:rPr>
              <w:t xml:space="preserve">Concentration</w:t>
            </w:r>
          </w:p>
        </w:tc>
        <w:tc>
          <w:tcPr>
            <w:vAlign w:val="top"/>
          </w:tcPr>
          <w:p>
            <w:r>
              <w:t xml:space="preserve">Microgram per litre</w:t>
            </w:r>
          </w:p>
        </w:tc>
        <w:tc>
          <w:tcPr>
            <w:vAlign w:val="top"/>
          </w:tcPr>
          <w:p>
            <w:r>
              <w:t xml:space="preserve">µg/L</w:t>
            </w:r>
          </w:p>
        </w:tc>
      </w:tr>
      <w:tr>
        <w:trPr/>
        <w:tc>
          <w:tcPr>
            <w:vAlign w:val="top"/>
          </w:tcPr>
          <w:p>
            <w:r>
              <w:t xml:space="preserve"> </w:t>
            </w:r>
          </w:p>
        </w:tc>
        <w:tc>
          <w:tcPr>
            <w:vAlign w:val="top"/>
          </w:tcPr>
          <w:p>
            <w:r>
              <w:t xml:space="preserve">Microgram per minute</w:t>
            </w:r>
          </w:p>
        </w:tc>
        <w:tc>
          <w:tcPr>
            <w:vAlign w:val="top"/>
          </w:tcPr>
          <w:p>
            <w:r>
              <w:t xml:space="preserve">µg/min</w:t>
            </w:r>
          </w:p>
        </w:tc>
      </w:tr>
      <w:tr>
        <w:trPr/>
        <w:tc>
          <w:tcPr>
            <w:vAlign w:val="top"/>
          </w:tcPr>
          <w:p>
            <w:r>
              <w:t xml:space="preserve"> </w:t>
            </w:r>
          </w:p>
        </w:tc>
        <w:tc>
          <w:tcPr>
            <w:vAlign w:val="top"/>
          </w:tcPr>
          <w:p>
            <w:r>
              <w:t xml:space="preserve">Micromole per litre</w:t>
            </w:r>
          </w:p>
        </w:tc>
        <w:tc>
          <w:tcPr>
            <w:vAlign w:val="top"/>
          </w:tcPr>
          <w:p>
            <w:r>
              <w:t xml:space="preserve">µmol/L</w:t>
            </w:r>
          </w:p>
        </w:tc>
      </w:tr>
      <w:tr>
        <w:trPr/>
        <w:tc>
          <w:tcPr>
            <w:vAlign w:val="top"/>
          </w:tcPr>
          <w:p>
            <w:r>
              <w:t xml:space="preserve"> </w:t>
            </w:r>
          </w:p>
        </w:tc>
        <w:tc>
          <w:tcPr>
            <w:vAlign w:val="top"/>
          </w:tcPr>
          <w:p>
            <w:r>
              <w:t xml:space="preserve">Micromole per mole</w:t>
            </w:r>
          </w:p>
        </w:tc>
        <w:tc>
          <w:tcPr>
            <w:vAlign w:val="top"/>
          </w:tcPr>
          <w:p>
            <w:r>
              <w:t xml:space="preserve">µmol/mol</w:t>
            </w:r>
          </w:p>
        </w:tc>
      </w:tr>
      <w:tr>
        <w:trPr/>
        <w:tc>
          <w:tcPr>
            <w:vAlign w:val="top"/>
          </w:tcPr>
          <w:p>
            <w:r>
              <w:t xml:space="preserve"> </w:t>
            </w:r>
          </w:p>
        </w:tc>
        <w:tc>
          <w:tcPr>
            <w:vAlign w:val="top"/>
          </w:tcPr>
          <w:p>
            <w:r>
              <w:t xml:space="preserve">Millimetre of mercury</w:t>
            </w:r>
          </w:p>
        </w:tc>
        <w:tc>
          <w:tcPr>
            <w:vAlign w:val="top"/>
          </w:tcPr>
          <w:p>
            <w:r>
              <w:t xml:space="preserve">mmHg</w:t>
            </w:r>
          </w:p>
        </w:tc>
      </w:tr>
      <w:tr>
        <w:trPr/>
        <w:tc>
          <w:tcPr>
            <w:vAlign w:val="top"/>
          </w:tcPr>
          <w:p>
            <w:r>
              <w:t xml:space="preserve"> </w:t>
            </w:r>
          </w:p>
        </w:tc>
        <w:tc>
          <w:tcPr>
            <w:vAlign w:val="top"/>
          </w:tcPr>
          <w:p>
            <w:r>
              <w:t xml:space="preserve">Millimole per litre</w:t>
            </w:r>
          </w:p>
        </w:tc>
        <w:tc>
          <w:tcPr>
            <w:vAlign w:val="top"/>
          </w:tcPr>
          <w:p>
            <w:r>
              <w:t xml:space="preserve">mmol/L</w:t>
            </w:r>
          </w:p>
        </w:tc>
      </w:tr>
      <w:tr>
        <w:trPr/>
        <w:tc>
          <w:tcPr>
            <w:vAlign w:val="top"/>
          </w:tcPr>
          <w:p>
            <w:r>
              <w:t xml:space="preserve"> </w:t>
            </w:r>
          </w:p>
        </w:tc>
        <w:tc>
          <w:tcPr>
            <w:vAlign w:val="top"/>
          </w:tcPr>
          <w:p>
            <w:r>
              <w:t xml:space="preserve">Milligram per millimole</w:t>
            </w:r>
          </w:p>
        </w:tc>
        <w:tc>
          <w:tcPr>
            <w:vAlign w:val="top"/>
          </w:tcPr>
          <w:p>
            <w:r>
              <w:t xml:space="preserve">mg/mmol</w:t>
            </w:r>
          </w:p>
        </w:tc>
      </w:tr>
      <w:tr>
        <w:trPr/>
        <w:tc>
          <w:tcPr>
            <w:vAlign w:val="top"/>
          </w:tcPr>
          <w:p>
            <w:r>
              <w:t xml:space="preserve"> </w:t>
            </w:r>
          </w:p>
        </w:tc>
        <w:tc>
          <w:tcPr>
            <w:vAlign w:val="top"/>
          </w:tcPr>
          <w:p>
            <w:r>
              <w:t xml:space="preserve">Milligram per litre</w:t>
            </w:r>
          </w:p>
        </w:tc>
        <w:tc>
          <w:tcPr>
            <w:vAlign w:val="top"/>
          </w:tcPr>
          <w:p>
            <w:r>
              <w:t xml:space="preserve">mg/L</w:t>
            </w:r>
          </w:p>
        </w:tc>
      </w:tr>
      <w:tr>
        <w:trPr/>
        <w:tc>
          <w:tcPr>
            <w:vAlign w:val="top"/>
          </w:tcPr>
          <w:p>
            <w:r>
              <w:t xml:space="preserve"> </w:t>
            </w:r>
          </w:p>
        </w:tc>
        <w:tc>
          <w:tcPr>
            <w:vAlign w:val="top"/>
          </w:tcPr>
          <w:p>
            <w:r>
              <w:t xml:space="preserve">Milligram per 24-hour period</w:t>
            </w:r>
          </w:p>
        </w:tc>
        <w:tc>
          <w:tcPr>
            <w:vAlign w:val="top"/>
          </w:tcPr>
          <w:p>
            <w:r>
              <w:t xml:space="preserve">mg/24h</w:t>
            </w:r>
          </w:p>
        </w:tc>
      </w:tr>
      <w:tr>
        <w:trPr/>
        <w:tc>
          <w:tcPr>
            <w:vAlign w:val="top"/>
          </w:tcPr>
          <w:p>
            <w:r>
              <w:t xml:space="preserve"> </w:t>
            </w:r>
          </w:p>
        </w:tc>
        <w:tc>
          <w:tcPr>
            <w:vAlign w:val="top"/>
          </w:tcPr>
          <w:p>
            <w:r>
              <w:t xml:space="preserve">Nanogram per decilitre</w:t>
            </w:r>
          </w:p>
        </w:tc>
        <w:tc>
          <w:tcPr>
            <w:vAlign w:val="top"/>
          </w:tcPr>
          <w:p>
            <w:r>
              <w:t xml:space="preserve">ng/dl</w:t>
            </w:r>
          </w:p>
        </w:tc>
      </w:tr>
      <w:tr>
        <w:trPr/>
        <w:tc>
          <w:tcPr>
            <w:vAlign w:val="top"/>
          </w:tcPr>
          <w:p>
            <w:r>
              <w:rPr>
                <w:b/>
              </w:rPr>
              <w:t xml:space="preserve">Currency</w:t>
            </w:r>
          </w:p>
        </w:tc>
        <w:tc>
          <w:tcPr>
            <w:vAlign w:val="top"/>
          </w:tcPr>
          <w:p>
            <w:r>
              <w:t xml:space="preserve">Australian currency</w:t>
            </w:r>
          </w:p>
        </w:tc>
        <w:tc>
          <w:tcPr>
            <w:vAlign w:val="top"/>
          </w:tcPr>
          <w:p>
            <w:r>
              <w:t xml:space="preserve">AU$</w:t>
            </w:r>
          </w:p>
        </w:tc>
      </w:tr>
      <w:tr>
        <w:trPr/>
        <w:tc>
          <w:tcPr>
            <w:vAlign w:val="top"/>
          </w:tcPr>
          <w:p>
            <w:r>
              <w:rPr>
                <w:b/>
              </w:rPr>
              <w:t xml:space="preserve">Length</w:t>
            </w:r>
          </w:p>
        </w:tc>
        <w:tc>
          <w:tcPr>
            <w:vAlign w:val="top"/>
          </w:tcPr>
          <w:p>
            <w:r>
              <w:t xml:space="preserve">Centimetre</w:t>
            </w:r>
          </w:p>
        </w:tc>
        <w:tc>
          <w:tcPr>
            <w:vAlign w:val="top"/>
          </w:tcPr>
          <w:p>
            <w:r>
              <w:t xml:space="preserve">cm</w:t>
            </w:r>
          </w:p>
        </w:tc>
      </w:tr>
      <w:tr>
        <w:trPr/>
        <w:tc>
          <w:tcPr>
            <w:vAlign w:val="top"/>
          </w:tcPr>
          <w:p>
            <w:r>
              <w:t xml:space="preserve"> </w:t>
            </w:r>
          </w:p>
        </w:tc>
        <w:tc>
          <w:tcPr>
            <w:vAlign w:val="top"/>
          </w:tcPr>
          <w:p>
            <w:r>
              <w:t xml:space="preserve">Millimetre</w:t>
            </w:r>
          </w:p>
        </w:tc>
        <w:tc>
          <w:tcPr>
            <w:vAlign w:val="top"/>
          </w:tcPr>
          <w:p>
            <w:r>
              <w:t xml:space="preserve">mm</w:t>
            </w:r>
          </w:p>
        </w:tc>
      </w:tr>
      <w:tr>
        <w:trPr/>
        <w:tc>
          <w:tcPr>
            <w:vAlign w:val="top"/>
          </w:tcPr>
          <w:p>
            <w:r>
              <w:rPr>
                <w:b/>
              </w:rPr>
              <w:t xml:space="preserve">Temperature</w:t>
            </w:r>
          </w:p>
        </w:tc>
        <w:tc>
          <w:tcPr>
            <w:vAlign w:val="top"/>
          </w:tcPr>
          <w:p>
            <w:r>
              <w:t xml:space="preserve">Degree Celsius</w:t>
            </w:r>
          </w:p>
        </w:tc>
        <w:tc>
          <w:tcPr>
            <w:vAlign w:val="top"/>
          </w:tcPr>
          <w:p>
            <w:r>
              <w:t xml:space="preserve">°C</w:t>
            </w:r>
          </w:p>
        </w:tc>
      </w:tr>
      <w:tr>
        <w:trPr/>
        <w:tc>
          <w:tcPr>
            <w:vAlign w:val="top"/>
          </w:tcPr>
          <w:p>
            <w:r>
              <w:rPr>
                <w:b/>
              </w:rPr>
              <w:t xml:space="preserve">Time</w:t>
            </w:r>
          </w:p>
        </w:tc>
        <w:tc>
          <w:tcPr>
            <w:vAlign w:val="top"/>
          </w:tcPr>
          <w:p>
            <w:r>
              <w:t xml:space="preserve">Second</w:t>
            </w:r>
          </w:p>
        </w:tc>
        <w:tc>
          <w:tcPr>
            <w:vAlign w:val="top"/>
          </w:tcPr>
          <w:p>
            <w:r>
              <w:t xml:space="preserve">s</w:t>
            </w:r>
          </w:p>
        </w:tc>
      </w:tr>
      <w:tr>
        <w:trPr/>
        <w:tc>
          <w:tcPr>
            <w:vAlign w:val="top"/>
          </w:tcPr>
          <w:p>
            <w:r>
              <w:t xml:space="preserve"> </w:t>
            </w:r>
          </w:p>
        </w:tc>
        <w:tc>
          <w:tcPr>
            <w:vAlign w:val="top"/>
          </w:tcPr>
          <w:p>
            <w:r>
              <w:t xml:space="preserve">Minute</w:t>
            </w:r>
          </w:p>
        </w:tc>
        <w:tc>
          <w:tcPr>
            <w:vAlign w:val="top"/>
          </w:tcPr>
          <w:p>
            <w:r>
              <w:t xml:space="preserve">min</w:t>
            </w:r>
          </w:p>
        </w:tc>
      </w:tr>
      <w:tr>
        <w:trPr/>
        <w:tc>
          <w:tcPr>
            <w:vAlign w:val="top"/>
          </w:tcPr>
          <w:p>
            <w:r>
              <w:t xml:space="preserve"> </w:t>
            </w:r>
          </w:p>
        </w:tc>
        <w:tc>
          <w:tcPr>
            <w:vAlign w:val="top"/>
          </w:tcPr>
          <w:p>
            <w:r>
              <w:t xml:space="preserve">Hour</w:t>
            </w:r>
          </w:p>
        </w:tc>
        <w:tc>
          <w:tcPr>
            <w:vAlign w:val="top"/>
          </w:tcPr>
          <w:p>
            <w:r>
              <w:t xml:space="preserve">h</w:t>
            </w:r>
          </w:p>
        </w:tc>
      </w:tr>
      <w:tr>
        <w:trPr/>
        <w:tc>
          <w:tcPr>
            <w:vAlign w:val="top"/>
          </w:tcPr>
          <w:p>
            <w:r>
              <w:t xml:space="preserve"> </w:t>
            </w:r>
          </w:p>
        </w:tc>
        <w:tc>
          <w:tcPr>
            <w:vAlign w:val="top"/>
          </w:tcPr>
          <w:p>
            <w:r>
              <w:t xml:space="preserve">Hour and minute</w:t>
            </w:r>
          </w:p>
        </w:tc>
        <w:tc>
          <w:tcPr>
            <w:vAlign w:val="top"/>
          </w:tcPr>
          <w:p>
            <w:r>
              <w:t xml:space="preserve">hm</w:t>
            </w:r>
          </w:p>
        </w:tc>
      </w:tr>
      <w:tr>
        <w:trPr/>
        <w:tc>
          <w:tcPr>
            <w:vAlign w:val="top"/>
          </w:tcPr>
          <w:p>
            <w:r>
              <w:t xml:space="preserve"> </w:t>
            </w:r>
          </w:p>
        </w:tc>
        <w:tc>
          <w:tcPr>
            <w:vAlign w:val="top"/>
          </w:tcPr>
          <w:p>
            <w:r>
              <w:t xml:space="preserve">Day</w:t>
            </w:r>
          </w:p>
        </w:tc>
        <w:tc>
          <w:tcPr>
            <w:vAlign w:val="top"/>
          </w:tcPr>
          <w:p>
            <w:r>
              <w:t xml:space="preserve">D</w:t>
            </w:r>
          </w:p>
        </w:tc>
      </w:tr>
      <w:tr>
        <w:trPr/>
        <w:tc>
          <w:tcPr>
            <w:vAlign w:val="top"/>
          </w:tcPr>
          <w:p>
            <w:r>
              <w:t xml:space="preserve"> </w:t>
            </w:r>
          </w:p>
        </w:tc>
        <w:tc>
          <w:tcPr>
            <w:vAlign w:val="top"/>
          </w:tcPr>
          <w:p>
            <w:r>
              <w:t xml:space="preserve">Week</w:t>
            </w:r>
          </w:p>
        </w:tc>
        <w:tc>
          <w:tcPr>
            <w:vAlign w:val="top"/>
          </w:tcPr>
          <w:p>
            <w:r>
              <w:t xml:space="preserve">W</w:t>
            </w:r>
          </w:p>
        </w:tc>
      </w:tr>
      <w:tr>
        <w:trPr/>
        <w:tc>
          <w:tcPr>
            <w:vAlign w:val="top"/>
          </w:tcPr>
          <w:p>
            <w:r>
              <w:t xml:space="preserve"> </w:t>
            </w:r>
          </w:p>
        </w:tc>
        <w:tc>
          <w:tcPr>
            <w:vAlign w:val="top"/>
          </w:tcPr>
          <w:p>
            <w:r>
              <w:t xml:space="preserve">Year</w:t>
            </w:r>
          </w:p>
        </w:tc>
        <w:tc>
          <w:tcPr>
            <w:vAlign w:val="top"/>
          </w:tcPr>
          <w:p>
            <w:r>
              <w:t xml:space="preserve">Y</w:t>
            </w:r>
          </w:p>
        </w:tc>
      </w:tr>
      <w:tr>
        <w:trPr/>
        <w:tc>
          <w:tcPr>
            <w:vAlign w:val="top"/>
          </w:tcPr>
          <w:p>
            <w:r>
              <w:rPr>
                <w:b/>
              </w:rPr>
              <w:t xml:space="preserve">Weight</w:t>
            </w:r>
          </w:p>
        </w:tc>
        <w:tc>
          <w:tcPr>
            <w:vAlign w:val="top"/>
          </w:tcPr>
          <w:p>
            <w:r>
              <w:t xml:space="preserve">Gram</w:t>
            </w:r>
          </w:p>
        </w:tc>
        <w:tc>
          <w:tcPr>
            <w:vAlign w:val="top"/>
          </w:tcPr>
          <w:p>
            <w:r>
              <w:t xml:space="preserve">g</w:t>
            </w:r>
          </w:p>
        </w:tc>
      </w:tr>
      <w:tr>
        <w:trPr/>
        <w:tc>
          <w:tcPr>
            <w:vAlign w:val="top"/>
          </w:tcPr>
          <w:p>
            <w:r>
              <w:t xml:space="preserve"> </w:t>
            </w:r>
          </w:p>
        </w:tc>
        <w:tc>
          <w:tcPr>
            <w:vAlign w:val="top"/>
          </w:tcPr>
          <w:p>
            <w:r>
              <w:t xml:space="preserve">Kilogram</w:t>
            </w:r>
          </w:p>
        </w:tc>
        <w:tc>
          <w:tcPr>
            <w:vAlign w:val="top"/>
          </w:tcPr>
          <w:p>
            <w:r>
              <w:t xml:space="preserve">Kg</w:t>
            </w:r>
          </w:p>
        </w:tc>
      </w:tr>
      <w:tr>
        <w:trPr/>
        <w:tc>
          <w:tcPr>
            <w:vAlign w:val="top"/>
          </w:tcPr>
          <w:p>
            <w:r>
              <w:rPr>
                <w:b/>
              </w:rPr>
              <w:t xml:space="preserve">Other</w:t>
            </w:r>
          </w:p>
        </w:tc>
        <w:tc>
          <w:tcPr>
            <w:vAlign w:val="top"/>
          </w:tcPr>
          <w:p>
            <w:r>
              <w:t xml:space="preserve">Attendance</w:t>
            </w:r>
          </w:p>
        </w:tc>
        <w:tc>
          <w:tcPr>
            <w:vAlign w:val="top"/>
          </w:tcPr>
          <w:p>
            <w:r>
              <w:t xml:space="preserve"> </w:t>
            </w:r>
          </w:p>
        </w:tc>
      </w:tr>
      <w:tr>
        <w:trPr/>
        <w:tc>
          <w:tcPr>
            <w:vAlign w:val="top"/>
          </w:tcPr>
          <w:p>
            <w:r>
              <w:t xml:space="preserve"> </w:t>
            </w:r>
          </w:p>
        </w:tc>
        <w:tc>
          <w:tcPr>
            <w:vAlign w:val="top"/>
          </w:tcPr>
          <w:p>
            <w:r>
              <w:t xml:space="preserve">Bed</w:t>
            </w:r>
          </w:p>
        </w:tc>
        <w:tc>
          <w:tcPr>
            <w:vAlign w:val="top"/>
          </w:tcPr>
          <w:p>
            <w:r>
              <w:t xml:space="preserve"> </w:t>
            </w:r>
          </w:p>
        </w:tc>
      </w:tr>
      <w:tr>
        <w:trPr/>
        <w:tc>
          <w:tcPr>
            <w:vAlign w:val="top"/>
          </w:tcPr>
          <w:p>
            <w:r>
              <w:t xml:space="preserve"> </w:t>
            </w:r>
          </w:p>
        </w:tc>
        <w:tc>
          <w:tcPr>
            <w:vAlign w:val="top"/>
          </w:tcPr>
          <w:p>
            <w:r>
              <w:t xml:space="preserve">Bedroom</w:t>
            </w:r>
          </w:p>
        </w:tc>
        <w:tc>
          <w:tcPr>
            <w:vAlign w:val="top"/>
          </w:tcPr>
          <w:p>
            <w:r>
              <w:t xml:space="preserve"> </w:t>
            </w:r>
          </w:p>
        </w:tc>
      </w:tr>
      <w:tr>
        <w:trPr/>
        <w:tc>
          <w:tcPr>
            <w:vAlign w:val="top"/>
          </w:tcPr>
          <w:p>
            <w:r>
              <w:t xml:space="preserve"> </w:t>
            </w:r>
          </w:p>
        </w:tc>
        <w:tc>
          <w:tcPr>
            <w:vAlign w:val="top"/>
          </w:tcPr>
          <w:p>
            <w:r>
              <w:t xml:space="preserve">Cigarette</w:t>
            </w:r>
          </w:p>
        </w:tc>
        <w:tc>
          <w:tcPr>
            <w:vAlign w:val="top"/>
          </w:tcPr>
          <w:p>
            <w:r>
              <w:t xml:space="preserve"> </w:t>
            </w:r>
          </w:p>
        </w:tc>
      </w:tr>
      <w:tr>
        <w:trPr/>
        <w:tc>
          <w:tcPr>
            <w:vAlign w:val="top"/>
          </w:tcPr>
          <w:p>
            <w:r>
              <w:t xml:space="preserve"> </w:t>
            </w:r>
          </w:p>
        </w:tc>
        <w:tc>
          <w:tcPr>
            <w:vAlign w:val="top"/>
          </w:tcPr>
          <w:p>
            <w:r>
              <w:t xml:space="preserve">Full-time equivalent (FTE) staff</w:t>
            </w:r>
          </w:p>
        </w:tc>
        <w:tc>
          <w:tcPr>
            <w:vAlign w:val="top"/>
          </w:tcPr>
          <w:p>
            <w:r>
              <w:t xml:space="preserve"> </w:t>
            </w:r>
          </w:p>
        </w:tc>
      </w:tr>
      <w:tr>
        <w:trPr/>
        <w:tc>
          <w:tcPr>
            <w:vAlign w:val="top"/>
          </w:tcPr>
          <w:p>
            <w:r>
              <w:t xml:space="preserve"> </w:t>
            </w:r>
          </w:p>
        </w:tc>
        <w:tc>
          <w:tcPr>
            <w:vAlign w:val="top"/>
          </w:tcPr>
          <w:p>
            <w:r>
              <w:t xml:space="preserve">Group session</w:t>
            </w:r>
          </w:p>
        </w:tc>
        <w:tc>
          <w:tcPr>
            <w:vAlign w:val="top"/>
          </w:tcPr>
          <w:p>
            <w:r>
              <w:t xml:space="preserve"> </w:t>
            </w:r>
          </w:p>
        </w:tc>
      </w:tr>
      <w:tr>
        <w:trPr/>
        <w:tc>
          <w:tcPr>
            <w:vAlign w:val="top"/>
          </w:tcPr>
          <w:p>
            <w:r>
              <w:t xml:space="preserve"> </w:t>
            </w:r>
          </w:p>
        </w:tc>
        <w:tc>
          <w:tcPr>
            <w:vAlign w:val="top"/>
          </w:tcPr>
          <w:p>
            <w:r>
              <w:t xml:space="preserve">Occasion of service</w:t>
            </w:r>
          </w:p>
        </w:tc>
        <w:tc>
          <w:tcPr>
            <w:vAlign w:val="top"/>
          </w:tcPr>
          <w:p>
            <w:r>
              <w:t xml:space="preserve"> </w:t>
            </w:r>
          </w:p>
        </w:tc>
      </w:tr>
      <w:tr>
        <w:trPr/>
        <w:tc>
          <w:tcPr>
            <w:vAlign w:val="top"/>
          </w:tcPr>
          <w:p>
            <w:r>
              <w:t xml:space="preserve"> </w:t>
            </w:r>
          </w:p>
        </w:tc>
        <w:tc>
          <w:tcPr>
            <w:vAlign w:val="top"/>
          </w:tcPr>
          <w:p>
            <w:r>
              <w:t xml:space="preserve">Period</w:t>
            </w:r>
          </w:p>
        </w:tc>
        <w:tc>
          <w:tcPr>
            <w:vAlign w:val="top"/>
          </w:tcPr>
          <w:p>
            <w:r>
              <w:t xml:space="preserve"> </w:t>
            </w:r>
          </w:p>
        </w:tc>
      </w:tr>
      <w:tr>
        <w:trPr/>
        <w:tc>
          <w:tcPr>
            <w:vAlign w:val="top"/>
          </w:tcPr>
          <w:p>
            <w:r>
              <w:t xml:space="preserve"> </w:t>
            </w:r>
          </w:p>
        </w:tc>
        <w:tc>
          <w:tcPr>
            <w:vAlign w:val="top"/>
          </w:tcPr>
          <w:p>
            <w:r>
              <w:t xml:space="preserve">Person</w:t>
            </w:r>
          </w:p>
        </w:tc>
        <w:tc>
          <w:tcPr>
            <w:vAlign w:val="top"/>
          </w:tcPr>
          <w:p>
            <w:r>
              <w:t xml:space="preserve"> </w:t>
            </w:r>
          </w:p>
        </w:tc>
      </w:tr>
      <w:tr>
        <w:trPr/>
        <w:tc>
          <w:tcPr>
            <w:vAlign w:val="top"/>
          </w:tcPr>
          <w:p>
            <w:r>
              <w:t xml:space="preserve"> </w:t>
            </w:r>
          </w:p>
        </w:tc>
        <w:tc>
          <w:tcPr>
            <w:vAlign w:val="top"/>
          </w:tcPr>
          <w:p>
            <w:r>
              <w:t xml:space="preserve">Pregnancy</w:t>
            </w:r>
          </w:p>
        </w:tc>
        <w:tc>
          <w:tcPr>
            <w:vAlign w:val="top"/>
          </w:tcPr>
          <w:p>
            <w:r>
              <w:t xml:space="preserve"> </w:t>
            </w:r>
          </w:p>
        </w:tc>
      </w:tr>
      <w:tr>
        <w:trPr/>
        <w:tc>
          <w:tcPr>
            <w:vAlign w:val="top"/>
          </w:tcPr>
          <w:p>
            <w:r>
              <w:t xml:space="preserve"> </w:t>
            </w:r>
          </w:p>
        </w:tc>
        <w:tc>
          <w:tcPr>
            <w:vAlign w:val="top"/>
          </w:tcPr>
          <w:p>
            <w:r>
              <w:t xml:space="preserve">Separation</w:t>
            </w:r>
          </w:p>
        </w:tc>
        <w:tc>
          <w:tcPr>
            <w:vAlign w:val="top"/>
          </w:tcPr>
          <w:p>
            <w:r>
              <w:t xml:space="preserve"> </w:t>
            </w:r>
          </w:p>
        </w:tc>
      </w:tr>
      <w:tr>
        <w:trPr/>
        <w:tc>
          <w:tcPr>
            <w:vAlign w:val="top"/>
          </w:tcPr>
          <w:p>
            <w:r>
              <w:t xml:space="preserve"> </w:t>
            </w:r>
          </w:p>
        </w:tc>
        <w:tc>
          <w:tcPr>
            <w:vAlign w:val="top"/>
          </w:tcPr>
          <w:p>
            <w:r>
              <w:t xml:space="preserve">Service contact</w:t>
            </w:r>
          </w:p>
        </w:tc>
        <w:tc>
          <w:tcPr>
            <w:vAlign w:val="top"/>
          </w:tcPr>
          <w:p>
            <w:r>
              <w:t xml:space="preserve"> </w:t>
            </w:r>
          </w:p>
        </w:tc>
      </w:tr>
      <w:tr>
        <w:trPr/>
        <w:tc>
          <w:tcPr>
            <w:vAlign w:val="top"/>
          </w:tcPr>
          <w:p>
            <w:r>
              <w:t xml:space="preserve"> </w:t>
            </w:r>
          </w:p>
        </w:tc>
        <w:tc>
          <w:tcPr>
            <w:vAlign w:val="top"/>
          </w:tcPr>
          <w:p>
            <w:r>
              <w:t xml:space="preserve">Service contact date</w:t>
            </w:r>
          </w:p>
        </w:tc>
        <w:tc>
          <w:tcPr>
            <w:vAlign w:val="top"/>
          </w:tcPr>
          <w:p>
            <w:r>
              <w:t xml:space="preserve"> </w:t>
            </w:r>
          </w:p>
        </w:tc>
      </w:tr>
      <w:tr>
        <w:trPr/>
        <w:tc>
          <w:tcPr>
            <w:vAlign w:val="top"/>
          </w:tcPr>
          <w:p>
            <w:r>
              <w:t xml:space="preserve"> </w:t>
            </w:r>
          </w:p>
        </w:tc>
        <w:tc>
          <w:tcPr>
            <w:vAlign w:val="top"/>
          </w:tcPr>
          <w:p>
            <w:r>
              <w:t xml:space="preserve">Service event</w:t>
            </w:r>
          </w:p>
        </w:tc>
        <w:tc>
          <w:tcPr>
            <w:vAlign w:val="top"/>
          </w:tcPr>
          <w:p>
            <w:r>
              <w:t xml:space="preserve"> </w:t>
            </w:r>
          </w:p>
        </w:tc>
      </w:tr>
      <w:tr>
        <w:trPr/>
        <w:tc>
          <w:tcPr>
            <w:vAlign w:val="top"/>
          </w:tcPr>
          <w:p>
            <w:r>
              <w:t xml:space="preserve"> </w:t>
            </w:r>
          </w:p>
        </w:tc>
        <w:tc>
          <w:tcPr>
            <w:vAlign w:val="top"/>
          </w:tcPr>
          <w:p>
            <w:r>
              <w:t xml:space="preserve">Standard drink</w:t>
            </w:r>
          </w:p>
        </w:tc>
        <w:tc>
          <w:tcPr>
            <w:vAlign w:val="top"/>
          </w:tcPr>
          <w:p>
            <w:r>
              <w:t xml:space="preserve"> </w:t>
            </w:r>
          </w:p>
        </w:tc>
      </w:tr>
      <w:tr>
        <w:trPr/>
        <w:tc>
          <w:tcPr>
            <w:vAlign w:val="top"/>
          </w:tcPr>
          <w:p>
            <w:r>
              <w:t xml:space="preserve"> </w:t>
            </w:r>
          </w:p>
        </w:tc>
        <w:tc>
          <w:tcPr>
            <w:vAlign w:val="top"/>
          </w:tcPr>
          <w:p>
            <w:r>
              <w:t xml:space="preserve">Tenancy agreement</w:t>
            </w:r>
          </w:p>
        </w:tc>
        <w:tc>
          <w:tcPr>
            <w:vAlign w:val="top"/>
          </w:tcPr>
          <w:p>
            <w:r>
              <w:t xml:space="preserve"> </w:t>
            </w:r>
          </w:p>
        </w:tc>
      </w:tr>
      <w:tr>
        <w:trPr/>
        <w:tc>
          <w:tcPr>
            <w:vAlign w:val="top"/>
          </w:tcPr>
          <w:p>
            <w:r>
              <w:t xml:space="preserve"> </w:t>
            </w:r>
          </w:p>
        </w:tc>
        <w:tc>
          <w:tcPr>
            <w:vAlign w:val="top"/>
          </w:tcPr>
          <w:p>
            <w:r>
              <w:t xml:space="preserve">Tenancy/rental unit</w:t>
            </w:r>
          </w:p>
        </w:tc>
        <w:tc>
          <w:tcPr>
            <w:vAlign w:val="top"/>
          </w:tcPr>
          <w:p>
            <w:r>
              <w:t xml:space="preserve"> </w:t>
            </w:r>
          </w:p>
        </w:tc>
      </w:tr>
    </w:tbl>
    <w:p>
      <w:r>
        <w:br/>
      </w:r>
      <w:r>
        <w:br/>
      </w:r>
    </w:p>
    <w:sectPr>
      <w:footerReference xmlns:r="http://schemas.openxmlformats.org/officeDocument/2006/relationships" w:type="default" r:id="R00adc3cb5ad045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261456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17cd65a0cb4f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adc3cb5ad0455e" /><Relationship Type="http://schemas.openxmlformats.org/officeDocument/2006/relationships/header" Target="/word/header1.xml" Id="R02de1f946869440d" /><Relationship Type="http://schemas.openxmlformats.org/officeDocument/2006/relationships/settings" Target="/word/settings.xml" Id="R1282d79ca7d94787" /><Relationship Type="http://schemas.openxmlformats.org/officeDocument/2006/relationships/styles" Target="/word/styles.xml" Id="R3ebfae2ee57e41a1" /><Relationship Type="http://schemas.openxmlformats.org/officeDocument/2006/relationships/numbering" Target="/word/numbering.xml" Id="R044a575c4f8743af" /></Relationships>
</file>

<file path=word/_rels/header1.xml.rels>&#65279;<?xml version="1.0" encoding="utf-8"?><Relationships xmlns="http://schemas.openxmlformats.org/package/2006/relationships"><Relationship Type="http://schemas.openxmlformats.org/officeDocument/2006/relationships/image" Target="/media/image.png" Id="Red17cd65a0cb4fe7" /></Relationships>
</file>