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4a1609e0d54154" /></Relationships>
</file>

<file path=word/document.xml><?xml version="1.0" encoding="utf-8"?>
<w:document xmlns:r="http://schemas.openxmlformats.org/officeDocument/2006/relationships" xmlns:w="http://schemas.openxmlformats.org/wordprocessingml/2006/main">
  <w:body>
    <w:p>
      <w:pPr>
        <w:pStyle w:val="Title"/>
      </w:pPr>
      <w:r>
        <w:t>Person—gender, Tertiary Collection of Student Information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Tertiary Collection of Student Information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Collection of Student Information (TCSI) Gender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baf0d19544979">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a person describes their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919c9781fecd44b8">
              <w:r>
                <w:rPr>
                  <w:rStyle w:val="Hyperlink"/>
                  <w:b/>
                </w:rPr>
                <w:t xml:space="preserve">gender,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3269fc642240e2">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8a62cba3b04c0f">
              <w:r>
                <w:rPr>
                  <w:rStyle w:val="Hyperlink"/>
                </w:rPr>
                <w:t xml:space="preserve">Tertiary Collection of Student Information gender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Indeterminate/Intersex/Unspecified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Tertiary Collection of Student Information (TCSI) collection of gender. </w:t>
            </w:r>
          </w:p>
          <w:p>
            <w:pPr>
              <w:spacing w:after="160"/>
            </w:pPr>
            <w:r>
              <w:rPr>
                <w:rStyle w:val="row-content-rich-text"/>
                <w:b/>
              </w:rPr>
              <w:t xml:space="preserve">Recoded TCSI gender codes</w:t>
            </w:r>
          </w:p>
          <w:p>
            <w:pPr>
              <w:spacing w:after="160"/>
            </w:pPr>
            <w:r>
              <w:rPr>
                <w:rStyle w:val="row-content-rich-text"/>
              </w:rPr>
              <w:t xml:space="preserve">When incorporated into the Australian Teacher Workforce Data (ATWD) collection, values may be recoded as below: </w:t>
            </w:r>
          </w:p>
          <w:p>
            <w:pPr>
              <w:spacing w:after="160"/>
            </w:pPr>
            <w:r>
              <w:rPr>
                <w:rStyle w:val="row-content-rich-text"/>
              </w:rPr>
              <w:t xml:space="preserve">CODE 1  Men</w:t>
            </w:r>
          </w:p>
          <w:p>
            <w:pPr>
              <w:spacing w:after="160"/>
            </w:pPr>
            <w:r>
              <w:rPr>
                <w:rStyle w:val="row-content-rich-text"/>
              </w:rPr>
              <w:t xml:space="preserve">CODE 2  Women</w:t>
            </w:r>
          </w:p>
          <w:p>
            <w:pPr>
              <w:spacing w:after="160"/>
            </w:pPr>
            <w:r>
              <w:rPr>
                <w:rStyle w:val="row-content-rich-text"/>
              </w:rPr>
              <w:t xml:space="preserve">CODE 3  Other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From the Australian Government Guidelines on the Recognition of Sex and Gender, "a person of indeterminate sex or gender is either someone whose biological sex cannot be unambiguously determined or someone who identifies as neither male nor female. Many terms are used to recognise people who do not fall within the traditional binary notions of sex and gender (male and female), including:</w:t>
            </w:r>
          </w:p>
          <w:p>
            <w:pPr>
              <w:pStyle w:val="ListParagraph"/>
              <w:numPr>
                <w:ilvl w:val="0"/>
                <w:numId w:val="2"/>
              </w:numPr>
            </w:pPr>
            <w:r>
              <w:rPr>
                <w:rStyle w:val="row-content-rich-text"/>
              </w:rPr>
              <w:t xml:space="preserve">non-binary</w:t>
            </w:r>
          </w:p>
          <w:p>
            <w:pPr>
              <w:pStyle w:val="ListParagraph"/>
              <w:numPr>
                <w:ilvl w:val="0"/>
                <w:numId w:val="2"/>
              </w:numPr>
            </w:pPr>
            <w:r>
              <w:rPr>
                <w:rStyle w:val="row-content-rich-text"/>
              </w:rPr>
              <w:t xml:space="preserve">gender diverse</w:t>
            </w:r>
          </w:p>
          <w:p>
            <w:pPr>
              <w:pStyle w:val="ListParagraph"/>
              <w:numPr>
                <w:ilvl w:val="0"/>
                <w:numId w:val="2"/>
              </w:numPr>
            </w:pPr>
            <w:r>
              <w:rPr>
                <w:rStyle w:val="row-content-rich-text"/>
              </w:rPr>
              <w:t xml:space="preserve">gender queer</w:t>
            </w:r>
          </w:p>
          <w:p>
            <w:pPr>
              <w:pStyle w:val="ListParagraph"/>
              <w:numPr>
                <w:ilvl w:val="0"/>
                <w:numId w:val="2"/>
              </w:numPr>
            </w:pPr>
            <w:r>
              <w:rPr>
                <w:rStyle w:val="row-content-rich-text"/>
              </w:rPr>
              <w:t xml:space="preserve">pan-gendered</w:t>
            </w:r>
          </w:p>
          <w:p>
            <w:pPr>
              <w:pStyle w:val="ListParagraph"/>
              <w:numPr>
                <w:ilvl w:val="0"/>
                <w:numId w:val="2"/>
              </w:numPr>
            </w:pPr>
            <w:r>
              <w:rPr>
                <w:rStyle w:val="row-content-rich-text"/>
              </w:rPr>
              <w:t xml:space="preserve">androgynous</w:t>
            </w:r>
          </w:p>
          <w:p>
            <w:pPr>
              <w:pStyle w:val="ListParagraph"/>
              <w:numPr>
                <w:ilvl w:val="0"/>
                <w:numId w:val="2"/>
              </w:numPr>
            </w:pPr>
            <w:r>
              <w:rPr>
                <w:rStyle w:val="row-content-rich-text"/>
              </w:rPr>
              <w:t xml:space="preserve">inter-gender.</w:t>
            </w:r>
          </w:p>
          <w:p>
            <w:pPr>
              <w:spacing w:after="160"/>
            </w:pPr>
            <w:r>
              <w:rPr>
                <w:rStyle w:val="row-content-rich-text"/>
              </w:rPr>
              <w:t xml:space="preserve">Some cultures may have their own terms for gender identities outside male and female, for example, ‘sistergirl’ and ‘brotherboy’ are used by some Aboriginal and Torres Strait Islander people."</w:t>
            </w:r>
          </w:p>
          <w:p>
            <w:pPr/>
            <w:r>
              <w:rPr>
                <w:rStyle w:val="row-content-rich-text"/>
              </w:rPr>
              <w:t xml:space="preserve">For more information, please see the </w:t>
            </w:r>
            <w:hyperlink w:history="true" r:id="Rfbc0435bbb6c4fe7">
              <w:r>
                <w:rPr>
                  <w:rStyle w:val="Hyperlink"/>
                </w:rPr>
                <w:t xml:space="preserve">Australian Government Guidelines on the Recognition of Sex and Gender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Tertiary Collection of Student Information (TCSI) aligns gender coding with the </w:t>
            </w:r>
            <w:hyperlink w:history="true" r:id="Raf6097ce8a5f4889">
              <w:r>
                <w:rPr>
                  <w:rStyle w:val="Hyperlink"/>
                </w:rPr>
                <w:t xml:space="preserve">Australian Government Guidelines on the Recognition of Sex and Gender</w:t>
              </w:r>
            </w:hyperlink>
            <w:r>
              <w:rPr>
                <w:rStyle w:val="row-content-rich-text"/>
              </w:rPr>
              <w:t xml:space="preserve">. As per the Australian Government Guidelines on the Recognition of Sex and Gender, "where sex and/or gender information is collected and recorded in a personal record, individuals should be given the option to select M (male), F (female) or X (Indeterminate/Intersex/Unspecified)."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2021. Tertiary Collection of Student Information: Gender, Canberra. Viewed 25 July 2022. </w:t>
            </w:r>
            <w:hyperlink w:history="true" r:id="R16216a38aa624ca7">
              <w:r>
                <w:rPr>
                  <w:rStyle w:val="Hyperlink"/>
                </w:rPr>
                <w:t xml:space="preserve">www.tcsisupport.gov.au/glossary/glossaryterm/Gender</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e172c8236da647e7">
              <w:r>
                <w:rPr>
                  <w:rStyle w:val="Hyperlink"/>
                  <w:b/>
                </w:rPr>
                <w:t xml:space="preserve">Gender</w:t>
              </w:r>
            </w:hyperlink>
            <w:r>
              <w:rPr>
                <w:rStyle w:val="row-content-rich-text"/>
              </w:rPr>
              <w:t xml:space="preserve"> is a social and cultural concept. It is about social and cultural differences in identity, expression and experience as a man, boy, woman, girl, or non-binary person. Non-binary is an umbrella term describing gender identities that are not exclusively male or female.</w:t>
            </w:r>
          </w:p>
          <w:p>
            <w:pPr>
              <w:spacing w:after="160"/>
            </w:pPr>
            <w:r>
              <w:rPr>
                <w:rStyle w:val="row-content-rich-text"/>
              </w:rPr>
              <w:t xml:space="preserve">Gender includes the following concepts:</w:t>
            </w:r>
          </w:p>
          <w:p>
            <w:pPr>
              <w:pStyle w:val="ListParagraph"/>
              <w:numPr>
                <w:ilvl w:val="0"/>
                <w:numId w:val="3"/>
              </w:numPr>
            </w:pPr>
            <w:r>
              <w:rPr>
                <w:rStyle w:val="row-content-rich-text"/>
              </w:rPr>
              <w:t xml:space="preserve">Gender identity is about who a person feels themselves to be</w:t>
            </w:r>
          </w:p>
          <w:p>
            <w:pPr>
              <w:pStyle w:val="ListParagraph"/>
              <w:numPr>
                <w:ilvl w:val="0"/>
                <w:numId w:val="3"/>
              </w:numPr>
            </w:pPr>
            <w:r>
              <w:rPr>
                <w:rStyle w:val="row-content-rich-text"/>
              </w:rPr>
              <w:t xml:space="preserve">Gender expression is the way a person expresses their gender. A person's gender expression may also vary depending on the context, for instance expressing different genders at work and home</w:t>
            </w:r>
          </w:p>
          <w:p>
            <w:pPr>
              <w:pStyle w:val="ListParagraph"/>
              <w:numPr>
                <w:ilvl w:val="0"/>
                <w:numId w:val="3"/>
              </w:numPr>
            </w:pPr>
            <w:r>
              <w:rPr>
                <w:rStyle w:val="row-content-rich-text"/>
              </w:rPr>
              <w:t xml:space="preserve">Gender experience describes a person's alignment with the sex recorded for them at birth i.e. a cis experience or a trans experience.</w:t>
            </w:r>
          </w:p>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83d01b0bb78f4fa5">
              <w:r>
                <w:rPr>
                  <w:rStyle w:val="Hyperlink"/>
                  <w:b/>
                </w:rPr>
                <w:t xml:space="preserve">sex</w:t>
              </w:r>
            </w:hyperlink>
            <w:r>
              <w:rPr>
                <w:rStyle w:val="row-content-rich-text"/>
              </w:rPr>
              <w:t xml:space="preserve"> and gender are interrelated, and are often used interchangeably, however they are distinct concepts:</w:t>
            </w:r>
          </w:p>
          <w:p>
            <w:pPr>
              <w:pStyle w:val="ListParagraph"/>
              <w:numPr>
                <w:ilvl w:val="0"/>
                <w:numId w:val="4"/>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4"/>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r>
              <w:rPr>
                <w:rStyle w:val="row-content-rich-text"/>
              </w:rPr>
              <w:t xml:space="preserve">"The preferred Australian Government approach is to collect and use gender information. Information regarding sex would ordinarily not be required and should only be collected where there is a legitimate need for that information and it is consistent with Australian Privacy Principle 3.” (AGD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Australian Government Guidelines on the Recognition of Sex and Gender</w:t>
            </w:r>
            <w:r>
              <w:rPr>
                <w:rStyle w:val="row-content-rich-text"/>
              </w:rPr>
              <w:t xml:space="preserve"> recommend "departments and agencies should refrain from making assumptions about a person's sex and/or gender identity based on indicators such as their name, voice or appearance" (AGD 2015.)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gender may stay the same or can change over the course of their lifetime. The gender response option chosen will reflect a person's gender at that point in time. Some people may not identify with a specific gender or with the concept of gender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Gender code, Canberra. Viewed 25 July 2022. </w:t>
            </w:r>
            <w:hyperlink w:history="true" r:id="R44f1450d0bcd42a6">
              <w:r>
                <w:rPr>
                  <w:rStyle w:val="Hyperlink"/>
                </w:rPr>
                <w:t xml:space="preserve">www.tcsisupport.gov.au/element/315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AGD (Attorney-General's Department) 2015. Australian Government Guidelines on the Recognition of Sex and Gender, viewed 5 July 2022 </w:t>
            </w:r>
            <w:hyperlink w:history="true" r:id="Rdc006b25a5504e48">
              <w:r>
                <w:rPr>
                  <w:rStyle w:val="Hyperlink"/>
                </w:rPr>
                <w:t xml:space="preserve">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aa8e1e95f549d2">
              <w:r>
                <w:rPr>
                  <w:rStyle w:val="Hyperlink"/>
                </w:rPr>
                <w:t xml:space="preserve">Initial Teacher Education (ITE) data cluster</w:t>
              </w:r>
            </w:hyperlink>
          </w:p>
          <w:p>
            <w:pPr>
              <w:pStyle w:val="registration-status"/>
              <w:spacing w:before="0" w:after="0"/>
            </w:pPr>
            <w:hyperlink w:history="true" r:id="R76717aad91a94160">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ae41a0c9f755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761470</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f7d6733e5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1a0c9f7554b22" /><Relationship Type="http://schemas.openxmlformats.org/officeDocument/2006/relationships/header" Target="/word/header1.xml" Id="Rc80324c29c874b73" /><Relationship Type="http://schemas.openxmlformats.org/officeDocument/2006/relationships/settings" Target="/word/settings.xml" Id="Ra8bd4043412b4006" /><Relationship Type="http://schemas.openxmlformats.org/officeDocument/2006/relationships/styles" Target="/word/styles.xml" Id="Re864f2de9fc74603" /><Relationship Type="http://schemas.openxmlformats.org/officeDocument/2006/relationships/numbering" Target="/word/numbering.xml" Id="R83c96e309ef14cee" /><Relationship Type="http://schemas.openxmlformats.org/officeDocument/2006/relationships/hyperlink" Target="https://meteor.aihw.gov.au/RegistrationAuthority/23" TargetMode="External" Id="R362baf0d19544979" /><Relationship Type="http://schemas.openxmlformats.org/officeDocument/2006/relationships/hyperlink" Target="https://meteor.aihw.gov.au/content/750032" TargetMode="External" Id="R919c9781fecd44b8" /><Relationship Type="http://schemas.openxmlformats.org/officeDocument/2006/relationships/hyperlink" Target="https://meteor.aihw.gov.au/content/741822" TargetMode="External" Id="R343269fc642240e2" /><Relationship Type="http://schemas.openxmlformats.org/officeDocument/2006/relationships/hyperlink" Target="https://meteor.aihw.gov.au/content/761457" TargetMode="External" Id="Rbb8a62cba3b04c0f" /><Relationship Type="http://schemas.openxmlformats.org/officeDocument/2006/relationships/hyperlink" Target="https://www.ag.gov.au/rights-and-protections/human-rights-and-anti-discrimination/australian-government-guidelines-recognition-sex-and-gender" TargetMode="External" Id="Rfbc0435bbb6c4fe7" /><Relationship Type="http://schemas.openxmlformats.org/officeDocument/2006/relationships/hyperlink" Target="https://www.ag.gov.au/rights-and-protections/human-rights-and-anti-discrimination/australian-government-guidelines-recognition-sex-and-gender" TargetMode="External" Id="Raf6097ce8a5f4889" /><Relationship Type="http://schemas.openxmlformats.org/officeDocument/2006/relationships/hyperlink" Target="https://www.tcsisupport.gov.au/glossary/glossaryterm/Gender" TargetMode="External" Id="R16216a38aa624ca7" /><Relationship Type="http://schemas.openxmlformats.org/officeDocument/2006/relationships/hyperlink" Target="https://meteor.aihw.gov.au/content/750032" TargetMode="External" Id="Re172c8236da647e7" /><Relationship Type="http://schemas.openxmlformats.org/officeDocument/2006/relationships/hyperlink" Target="https://meteor.aihw.gov.au/content/750030" TargetMode="External" Id="R83d01b0bb78f4fa5" /><Relationship Type="http://schemas.openxmlformats.org/officeDocument/2006/relationships/hyperlink" Target="https://www.tcsisupport.gov.au/element/315" TargetMode="External" Id="R44f1450d0bcd42a6" /><Relationship Type="http://schemas.openxmlformats.org/officeDocument/2006/relationships/hyperlink" Target="https://www.ag.gov.au/rights-and-protections/publications/australian-government-guidelines-recognition-sex-and-gender" TargetMode="External" Id="Rdc006b25a5504e48" /><Relationship Type="http://schemas.openxmlformats.org/officeDocument/2006/relationships/hyperlink" Target="https://meteor.aihw.gov.au/content/758462" TargetMode="External" Id="R11aa8e1e95f549d2" /><Relationship Type="http://schemas.openxmlformats.org/officeDocument/2006/relationships/hyperlink" Target="https://meteor.aihw.gov.au/RegistrationAuthority/23" TargetMode="External" Id="R76717aad91a94160" /></Relationships>
</file>

<file path=word/_rels/header1.xml.rels>&#65279;<?xml version="1.0" encoding="utf-8"?><Relationships xmlns="http://schemas.openxmlformats.org/package/2006/relationships"><Relationship Type="http://schemas.openxmlformats.org/officeDocument/2006/relationships/image" Target="/media/image.png" Id="R46cf7d6733e545b9" /></Relationships>
</file>