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a0ee2edd6a49c6"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 care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 care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 care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27ad7f101480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within a service provider organisation that provides primary health care to Aboriginal and Torres Strait Islander people,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6af8c8584e4cc5">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9670a0084452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ebc7f0f92d403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9f1e180e264cd6">
              <w:r>
                <w:rPr>
                  <w:rStyle w:val="Hyperlink"/>
                </w:rPr>
                <w:t xml:space="preserve">Staffing categories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62a7252893478f">
              <w:r>
                <w:rPr>
                  <w:rStyle w:val="Hyperlink"/>
                </w:rPr>
                <w:t xml:space="preserve">Aboriginal and Torres Strait Islander primary health care staffing categories code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aae8e77a2464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staffing positions within an entity providing primary health care to Aboriginal and Torres Strait Islander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Finance and accounting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IT and data management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Cleaners/Security/Other support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Administrative/Support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Aboriginal and Torres Strait Islander Health Worker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Aboriginal and Torres Strait Islander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Doctor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Substance misuse/Drug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Tobacco worker/Coordinator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Dental support (e.g. Dental assistant/Dental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Sexual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Traditional healer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Environmental health worker/Officer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23.01</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23.02</w:t>
            </w:r>
          </w:p>
        </w:tc>
        <w:tc>
          <w:tcPr>
            <w:tcBorders>
              <w:top w:val="none" w:color="000000" w:sz="0"/>
              <w:left w:val="none" w:color="000000" w:sz="0"/>
              <w:bottom w:val="none" w:color="000000" w:sz="0"/>
              <w:right w:val="none" w:color="000000" w:sz="0"/>
            </w:tcBorders>
            <w:vAlign w:val="top"/>
          </w:tcPr>
          <w:p>
            <w:r>
              <w:t xml:space="preserve">Endocrinologist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23.04</w:t>
            </w:r>
          </w:p>
        </w:tc>
        <w:tc>
          <w:tcPr>
            <w:tcBorders>
              <w:top w:val="none" w:color="000000" w:sz="0"/>
              <w:left w:val="none" w:color="000000" w:sz="0"/>
              <w:bottom w:val="none" w:color="000000" w:sz="0"/>
              <w:right w:val="none" w:color="000000" w:sz="0"/>
            </w:tcBorders>
            <w:vAlign w:val="top"/>
          </w:tcPr>
          <w:p>
            <w:r>
              <w:t xml:space="preserve">Obstetrician/Gynaecologist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23.05</w:t>
            </w:r>
          </w:p>
        </w:tc>
        <w:tc>
          <w:tcPr>
            <w:tcBorders>
              <w:top w:val="none" w:color="000000" w:sz="0"/>
              <w:left w:val="none" w:color="000000" w:sz="0"/>
              <w:bottom w:val="none" w:color="000000" w:sz="0"/>
              <w:right w:val="none" w:color="000000" w:sz="0"/>
            </w:tcBorders>
            <w:vAlign w:val="top"/>
          </w:tcPr>
          <w:p>
            <w:r>
              <w:t xml:space="preserve">Ear nose and throat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23.06</w:t>
            </w:r>
          </w:p>
        </w:tc>
        <w:tc>
          <w:tcPr>
            <w:tcBorders>
              <w:top w:val="none" w:color="000000" w:sz="0"/>
              <w:left w:val="none" w:color="000000" w:sz="0"/>
              <w:bottom w:val="none" w:color="000000" w:sz="0"/>
              <w:right w:val="none" w:color="000000" w:sz="0"/>
            </w:tcBorders>
            <w:vAlign w:val="top"/>
          </w:tcPr>
          <w:p>
            <w:r>
              <w:t xml:space="preserve">Cardiologist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23.07</w:t>
            </w:r>
          </w:p>
        </w:tc>
        <w:tc>
          <w:tcPr>
            <w:tcBorders>
              <w:top w:val="none" w:color="000000" w:sz="0"/>
              <w:left w:val="none" w:color="000000" w:sz="0"/>
              <w:bottom w:val="none" w:color="000000" w:sz="0"/>
              <w:right w:val="none" w:color="000000" w:sz="0"/>
            </w:tcBorders>
            <w:vAlign w:val="top"/>
          </w:tcPr>
          <w:p>
            <w:r>
              <w:t xml:space="preserve">Renal medicine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23.08</w:t>
            </w:r>
          </w:p>
        </w:tc>
        <w:tc>
          <w:tcPr>
            <w:tcBorders>
              <w:top w:val="none" w:color="000000" w:sz="0"/>
              <w:left w:val="none" w:color="000000" w:sz="0"/>
              <w:bottom w:val="none" w:color="000000" w:sz="0"/>
              <w:right w:val="none" w:color="000000" w:sz="0"/>
            </w:tcBorders>
            <w:vAlign w:val="top"/>
          </w:tcPr>
          <w:p>
            <w:r>
              <w:t xml:space="preserve">Psychiatrist/Psychiatric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23.09</w:t>
            </w:r>
          </w:p>
        </w:tc>
        <w:tc>
          <w:tcPr>
            <w:tcBorders>
              <w:top w:val="none" w:color="000000" w:sz="0"/>
              <w:left w:val="none" w:color="000000" w:sz="0"/>
              <w:bottom w:val="none" w:color="000000" w:sz="0"/>
              <w:right w:val="none" w:color="000000" w:sz="0"/>
            </w:tcBorders>
            <w:vAlign w:val="top"/>
          </w:tcPr>
          <w:p>
            <w:r>
              <w:t xml:space="preserve">Dermatologist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23.10</w:t>
            </w:r>
          </w:p>
        </w:tc>
        <w:tc>
          <w:tcPr>
            <w:tcBorders>
              <w:top w:val="none" w:color="000000" w:sz="0"/>
              <w:left w:val="none" w:color="000000" w:sz="0"/>
              <w:bottom w:val="none" w:color="000000" w:sz="0"/>
              <w:right w:val="none" w:color="000000" w:sz="0"/>
            </w:tcBorders>
            <w:vAlign w:val="top"/>
          </w:tcPr>
          <w:p>
            <w:r>
              <w:t xml:space="preserve">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23.11</w:t>
            </w:r>
          </w:p>
        </w:tc>
        <w:tc>
          <w:tcPr>
            <w:tcBorders>
              <w:top w:val="none" w:color="000000" w:sz="0"/>
              <w:left w:val="none" w:color="000000" w:sz="0"/>
              <w:bottom w:val="none" w:color="000000" w:sz="0"/>
              <w:right w:val="none" w:color="000000" w:sz="0"/>
            </w:tcBorders>
            <w:vAlign w:val="top"/>
          </w:tcPr>
          <w:p>
            <w:r>
              <w:t xml:space="preserve">Specialist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Social and emotional well-being staff/Counsellors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24.01</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24.02</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24.03</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24.04</w:t>
            </w:r>
          </w:p>
        </w:tc>
        <w:tc>
          <w:tcPr>
            <w:tcBorders>
              <w:top w:val="none" w:color="000000" w:sz="0"/>
              <w:left w:val="none" w:color="000000" w:sz="0"/>
              <w:bottom w:val="none" w:color="000000" w:sz="0"/>
              <w:right w:val="none" w:color="000000" w:sz="0"/>
            </w:tcBorders>
            <w:vAlign w:val="top"/>
          </w:tcPr>
          <w:p>
            <w:r>
              <w:t xml:space="preserve">Welfare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24.05</w:t>
            </w:r>
          </w:p>
        </w:tc>
        <w:tc>
          <w:tcPr>
            <w:tcBorders>
              <w:top w:val="none" w:color="000000" w:sz="0"/>
              <w:left w:val="none" w:color="000000" w:sz="0"/>
              <w:bottom w:val="none" w:color="000000" w:sz="0"/>
              <w:right w:val="none" w:color="000000" w:sz="0"/>
            </w:tcBorders>
            <w:vAlign w:val="top"/>
          </w:tcPr>
          <w:p>
            <w:r>
              <w:t xml:space="preserve">SEWB staff – Link Up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24.06</w:t>
            </w:r>
          </w:p>
        </w:tc>
        <w:tc>
          <w:tcPr>
            <w:tcBorders>
              <w:top w:val="none" w:color="000000" w:sz="0"/>
              <w:left w:val="none" w:color="000000" w:sz="0"/>
              <w:bottom w:val="none" w:color="000000" w:sz="0"/>
              <w:right w:val="none" w:color="000000" w:sz="0"/>
            </w:tcBorders>
            <w:vAlign w:val="top"/>
          </w:tcPr>
          <w:p>
            <w:r>
              <w:t xml:space="preserve">SEWB staff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25.01</w:t>
            </w:r>
          </w:p>
        </w:tc>
        <w:tc>
          <w:tcPr>
            <w:tcBorders>
              <w:top w:val="none" w:color="000000" w:sz="0"/>
              <w:left w:val="none" w:color="000000" w:sz="0"/>
              <w:bottom w:val="none" w:color="000000" w:sz="0"/>
              <w:right w:val="none" w:color="000000" w:sz="0"/>
            </w:tcBorders>
            <w:vAlign w:val="top"/>
          </w:tcPr>
          <w:p>
            <w:r>
              <w:t xml:space="preserve">Audiologist/Audiometrist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25.02</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25.03</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25.05</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25.06</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25.07</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25.08</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25.09</w:t>
            </w:r>
          </w:p>
        </w:tc>
        <w:tc>
          <w:tcPr>
            <w:tcBorders>
              <w:top w:val="none" w:color="000000" w:sz="0"/>
              <w:left w:val="none" w:color="000000" w:sz="0"/>
              <w:bottom w:val="none" w:color="000000" w:sz="0"/>
              <w:right w:val="none" w:color="000000" w:sz="0"/>
            </w:tcBorders>
            <w:vAlign w:val="top"/>
          </w:tcPr>
          <w:p>
            <w:r>
              <w:t xml:space="preserve">Allied health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 promotion/Prevention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26.01</w:t>
            </w:r>
          </w:p>
        </w:tc>
        <w:tc>
          <w:tcPr>
            <w:tcBorders>
              <w:top w:val="none" w:color="000000" w:sz="0"/>
              <w:left w:val="none" w:color="000000" w:sz="0"/>
              <w:bottom w:val="none" w:color="000000" w:sz="0"/>
              <w:right w:val="none" w:color="000000" w:sz="0"/>
            </w:tcBorders>
            <w:vAlign w:val="top"/>
          </w:tcPr>
          <w:p>
            <w:r>
              <w:t xml:space="preserve">Health promotion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26.02</w:t>
            </w:r>
          </w:p>
        </w:tc>
        <w:tc>
          <w:tcPr>
            <w:tcBorders>
              <w:top w:val="none" w:color="000000" w:sz="0"/>
              <w:left w:val="none" w:color="000000" w:sz="0"/>
              <w:bottom w:val="none" w:color="000000" w:sz="0"/>
              <w:right w:val="none" w:color="000000" w:sz="0"/>
            </w:tcBorders>
            <w:vAlign w:val="top"/>
          </w:tcPr>
          <w:p>
            <w:r>
              <w:t xml:space="preserve">Healthy lifestyle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26.03</w:t>
            </w:r>
          </w:p>
        </w:tc>
        <w:tc>
          <w:tcPr>
            <w:tcBorders>
              <w:top w:val="none" w:color="000000" w:sz="0"/>
              <w:left w:val="none" w:color="000000" w:sz="0"/>
              <w:bottom w:val="none" w:color="000000" w:sz="0"/>
              <w:right w:val="none" w:color="000000" w:sz="0"/>
            </w:tcBorders>
            <w:vAlign w:val="top"/>
          </w:tcPr>
          <w:p>
            <w:r>
              <w:t xml:space="preserve">Health prevention/promotion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Training/Trainee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27.01</w:t>
            </w:r>
          </w:p>
        </w:tc>
        <w:tc>
          <w:tcPr>
            <w:tcBorders>
              <w:top w:val="none" w:color="000000" w:sz="0"/>
              <w:left w:val="none" w:color="000000" w:sz="0"/>
              <w:bottom w:val="none" w:color="000000" w:sz="0"/>
              <w:right w:val="none" w:color="000000" w:sz="0"/>
            </w:tcBorders>
            <w:vAlign w:val="top"/>
          </w:tcPr>
          <w:p>
            <w:r>
              <w:t xml:space="preserve">ATSIHW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27.02</w:t>
            </w:r>
          </w:p>
        </w:tc>
        <w:tc>
          <w:tcPr>
            <w:tcBorders>
              <w:top w:val="none" w:color="000000" w:sz="0"/>
              <w:left w:val="none" w:color="000000" w:sz="0"/>
              <w:bottom w:val="none" w:color="000000" w:sz="0"/>
              <w:right w:val="none" w:color="000000" w:sz="0"/>
            </w:tcBorders>
            <w:vAlign w:val="top"/>
          </w:tcPr>
          <w:p>
            <w:r>
              <w:t xml:space="preserve">Registrar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27.03</w:t>
            </w:r>
          </w:p>
        </w:tc>
        <w:tc>
          <w:tcPr>
            <w:tcBorders>
              <w:top w:val="none" w:color="000000" w:sz="0"/>
              <w:left w:val="none" w:color="000000" w:sz="0"/>
              <w:bottom w:val="none" w:color="000000" w:sz="0"/>
              <w:right w:val="none" w:color="000000" w:sz="0"/>
            </w:tcBorders>
            <w:vAlign w:val="top"/>
          </w:tcPr>
          <w:p>
            <w:r>
              <w:t xml:space="preserve">Health training position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CEO</w:t>
            </w:r>
          </w:p>
          <w:p>
            <w:pPr>
              <w:spacing w:after="160"/>
            </w:pPr>
            <w:r>
              <w:rPr>
                <w:rStyle w:val="row-content-rich-text"/>
              </w:rPr>
              <w:t xml:space="preserve">A Chief Executive Officer (CEO) determines, formulates and reviews the general policy program and the overall direction of an organisation within the framework established by a board of directors or similar governing body (ABS 2019).</w:t>
            </w:r>
          </w:p>
          <w:p>
            <w:pPr>
              <w:spacing w:after="160"/>
            </w:pPr>
            <w:r>
              <w:rPr>
                <w:rStyle w:val="row-content-rich-text"/>
              </w:rPr>
              <w:t xml:space="preserve">CODE 2 Managers/Supervisors</w:t>
            </w:r>
          </w:p>
          <w:p>
            <w:pPr>
              <w:spacing w:after="160"/>
            </w:pPr>
            <w:r>
              <w:rPr>
                <w:rStyle w:val="row-content-rich-text"/>
              </w:rPr>
              <w:t xml:space="preserve">A Manager/Supervisor plans, organises, directs, controls and reviews the day-to-day operations and major functions of a commercial, industrial, governmental or other organisation through departmental managers and subordinate executives (ABS 2019).</w:t>
            </w:r>
          </w:p>
          <w:p>
            <w:pPr>
              <w:spacing w:after="160"/>
            </w:pPr>
            <w:r>
              <w:rPr>
                <w:rStyle w:val="row-content-rich-text"/>
              </w:rPr>
              <w:t xml:space="preserve">CODE 3 Drivers/Field officers</w:t>
            </w:r>
          </w:p>
          <w:p>
            <w:pPr>
              <w:spacing w:after="160"/>
            </w:pPr>
            <w:r>
              <w:rPr>
                <w:rStyle w:val="row-content-rich-text"/>
              </w:rPr>
              <w:t xml:space="preserve">A Driver/Field officer transports patients to and from health services.</w:t>
            </w:r>
          </w:p>
          <w:p>
            <w:pPr>
              <w:spacing w:after="160"/>
            </w:pPr>
            <w:r>
              <w:rPr>
                <w:rStyle w:val="row-content-rich-text"/>
              </w:rPr>
              <w:t xml:space="preserve">CODE 4 Finance and accounting staff</w:t>
            </w:r>
          </w:p>
          <w:p>
            <w:pPr>
              <w:spacing w:after="160"/>
            </w:pPr>
            <w:r>
              <w:rPr>
                <w:rStyle w:val="row-content-rich-text"/>
              </w:rPr>
              <w:t xml:space="preserve">Finance and accounting staff compile, record and process documents relating to creditors and debtors, operating costs, financial transactions and payrolls (ABS 2019).</w:t>
            </w:r>
          </w:p>
          <w:p>
            <w:pPr>
              <w:spacing w:after="160"/>
            </w:pPr>
            <w:r>
              <w:rPr>
                <w:rStyle w:val="row-content-rich-text"/>
              </w:rPr>
              <w:t xml:space="preserve">CODE 5 Administrative and clerical staff</w:t>
            </w:r>
          </w:p>
          <w:p>
            <w:pPr>
              <w:spacing w:after="160"/>
            </w:pPr>
            <w:r>
              <w:rPr>
                <w:rStyle w:val="row-content-rich-text"/>
              </w:rPr>
              <w:t xml:space="preserve">Administrative and clerical staff provide support to Managers, Professionals and organisations by organising, storing, manipulating and retrieving information (ABS 2019).</w:t>
            </w:r>
          </w:p>
          <w:p>
            <w:pPr>
              <w:spacing w:after="160"/>
            </w:pPr>
            <w:r>
              <w:rPr>
                <w:rStyle w:val="row-content-rich-text"/>
              </w:rPr>
              <w:t xml:space="preserve">CODE 6 IT and data management staff</w:t>
            </w:r>
          </w:p>
          <w:p>
            <w:pPr>
              <w:spacing w:after="160"/>
            </w:pPr>
            <w:r>
              <w:rPr>
                <w:rStyle w:val="row-content-rich-text"/>
              </w:rPr>
              <w:t xml:space="preserve">Information Technology (IT) staff research, analyse, plan, design, install, monitor and maintain information and communications technology (ICT) systems to support the business needs of organisations and individuals. Data management staff plan, develop, maintain, manage and administer organisations' database management systems, operating systems and security policies and procedures to ensure optimal database and system integrity, security, backup, reliability and performance (ABS 2019).</w:t>
            </w:r>
          </w:p>
          <w:p>
            <w:pPr>
              <w:spacing w:after="160"/>
            </w:pPr>
            <w:r>
              <w:rPr>
                <w:rStyle w:val="row-content-rich-text"/>
              </w:rPr>
              <w:t xml:space="preserve">CODE 7 Cleaners/Security/Other support staff</w:t>
            </w:r>
          </w:p>
          <w:p>
            <w:pPr>
              <w:spacing w:after="160"/>
            </w:pPr>
            <w:r>
              <w:rPr>
                <w:rStyle w:val="row-content-rich-text"/>
              </w:rPr>
              <w:t xml:space="preserve">Cleaners clean offices, residential complexes, hospitals and other commercial premises. Security Officers patrol and guard industrial and commercial property, railway yards, stations and other facilities. Registration or licensing may be required (ABS 2019). Other support staff include support staff not further defined.</w:t>
            </w:r>
          </w:p>
          <w:p>
            <w:pPr>
              <w:spacing w:after="160"/>
            </w:pPr>
            <w:r>
              <w:rPr>
                <w:rStyle w:val="row-content-rich-text"/>
              </w:rPr>
              <w:t xml:space="preserve">CODE 8 Administrative/Support trainees</w:t>
            </w:r>
          </w:p>
          <w:p>
            <w:pPr>
              <w:spacing w:after="160"/>
            </w:pPr>
            <w:r>
              <w:rPr>
                <w:rStyle w:val="row-content-rich-text"/>
              </w:rPr>
              <w:t xml:space="preserve">Administrative/Support trainees are staff training to work as administrative/support staff.</w:t>
            </w:r>
          </w:p>
          <w:p>
            <w:pPr>
              <w:spacing w:after="160"/>
            </w:pPr>
            <w:r>
              <w:rPr>
                <w:rStyle w:val="row-content-rich-text"/>
              </w:rPr>
              <w:t xml:space="preserve">CODE 9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a754b686b6ed4399">
              <w:r>
                <w:rPr>
                  <w:rStyle w:val="Hyperlink"/>
                  <w:b/>
                </w:rPr>
                <w:t xml:space="preserve">Aboriginal and Torres Strait Islander health worker</w:t>
              </w:r>
            </w:hyperlink>
            <w:r>
              <w:rPr>
                <w:rStyle w:val="row-content-rich-text"/>
              </w:rPr>
              <w:t xml:space="preserve"> (AHW) – male</w:t>
            </w:r>
          </w:p>
          <w:p>
            <w:pPr>
              <w:spacing w:after="160"/>
            </w:pPr>
            <w:r>
              <w:rPr>
                <w:rStyle w:val="row-content-rich-text"/>
              </w:rPr>
              <w:t xml:space="preserve">A male AHW. 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10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5907d34d3d784be9">
              <w:r>
                <w:rPr>
                  <w:rStyle w:val="Hyperlink"/>
                  <w:b/>
                </w:rPr>
                <w:t xml:space="preserve">Aboriginal and Torres Strait Islander health worker</w:t>
              </w:r>
            </w:hyperlink>
            <w:r>
              <w:rPr>
                <w:rStyle w:val="row-content-rich-text"/>
              </w:rPr>
              <w:t xml:space="preserve"> – female</w:t>
            </w:r>
          </w:p>
          <w:p>
            <w:pPr>
              <w:spacing w:after="160"/>
            </w:pPr>
            <w:r>
              <w:rPr>
                <w:rStyle w:val="row-content-rich-text"/>
              </w:rPr>
              <w:t xml:space="preserve">A female AHW. 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11 Aboriginal and Torres Strait Islander Health Practitioner</w:t>
            </w:r>
          </w:p>
          <w:p>
            <w:pPr>
              <w:spacing w:after="160"/>
            </w:pPr>
            <w:r>
              <w:rPr>
                <w:rStyle w:val="row-content-rich-text"/>
              </w:rPr>
              <w:t xml:space="preserve">An Aboriginal and/or Torres Strait Islander person who has gained a qualification in Aboriginal and/or Torres Strait Islander Primary Health Care Practice and has successfully applied for and been registered with the Aboriginal and Torres Strait Islander Health Practice Board of Australia through the Australian health Practitioner Regulation Agency (AHPRA) (NAATSIHWP 2018).</w:t>
            </w:r>
          </w:p>
          <w:p>
            <w:pPr>
              <w:spacing w:after="160"/>
            </w:pPr>
            <w:r>
              <w:rPr>
                <w:rStyle w:val="row-content-rich-text"/>
              </w:rPr>
              <w:t xml:space="preserve">CODE 12 Doctor – General Practitioner</w:t>
            </w:r>
          </w:p>
          <w:p>
            <w:pPr>
              <w:spacing w:after="160"/>
            </w:pPr>
            <w:r>
              <w:rPr>
                <w:rStyle w:val="row-content-rich-text"/>
              </w:rPr>
              <w:t xml:space="preserve">A General Practitioner diagnoses, treats and prevents human physical and mental disorders and injuries. Registration or licensing is required (ABS 2019).</w:t>
            </w:r>
          </w:p>
          <w:p>
            <w:pPr>
              <w:spacing w:after="160"/>
            </w:pPr>
            <w:r>
              <w:rPr>
                <w:rStyle w:val="row-content-rich-text"/>
              </w:rPr>
              <w:t xml:space="preserve">CODE 13 Nurses</w:t>
            </w:r>
          </w:p>
          <w:p>
            <w:pPr>
              <w:spacing w:after="160"/>
            </w:pPr>
            <w:r>
              <w:rPr>
                <w:rStyle w:val="row-content-rich-text"/>
              </w:rPr>
              <w:t xml:space="preserve">A Nurse provides care to mothers and their babies, the elderly, and physically and mentally ill patients in hospitals, nursing homes, medical centres and the community; provides clinical education to midwives and nurses; conducts research into clinical nursing practice; and manages health service units and sub-units. Registration or licensing is required (ABS 2019).</w:t>
            </w:r>
          </w:p>
          <w:p>
            <w:pPr>
              <w:spacing w:after="160"/>
            </w:pPr>
            <w:r>
              <w:rPr>
                <w:rStyle w:val="row-content-rich-text"/>
              </w:rPr>
              <w:t xml:space="preserve">CODE 14 Midwives</w:t>
            </w:r>
          </w:p>
          <w:p>
            <w:pPr>
              <w:spacing w:after="160"/>
            </w:pPr>
            <w:r>
              <w:rPr>
                <w:rStyle w:val="row-content-rich-text"/>
              </w:rPr>
              <w:t xml:space="preserve">A Midwife provides care and advice to women during pregnancy, labour and childbirth, and postnatal care for women and babies in a range of settings such as the home, community, hospitals, clinics and health units. Registration or licensing is required (ABS 2019).</w:t>
            </w:r>
          </w:p>
          <w:p>
            <w:pPr>
              <w:spacing w:after="160"/>
            </w:pPr>
            <w:r>
              <w:rPr>
                <w:rStyle w:val="row-content-rich-text"/>
              </w:rPr>
              <w:t xml:space="preserve">CODE 15 Substance misuse/Drug and alcohol worker</w:t>
            </w:r>
          </w:p>
          <w:p>
            <w:pPr>
              <w:spacing w:after="160"/>
            </w:pPr>
            <w:r>
              <w:rPr>
                <w:rStyle w:val="row-content-rich-text"/>
              </w:rPr>
              <w:t xml:space="preserve">A Substance misuse/Drug and alcohol worker guides and supports patients in their recovery from alcohol and substance abuse. They provide education and counselling for patients with drug and alcohol dependency.</w:t>
            </w:r>
          </w:p>
          <w:p>
            <w:pPr>
              <w:spacing w:after="160"/>
            </w:pPr>
            <w:r>
              <w:rPr>
                <w:rStyle w:val="row-content-rich-text"/>
              </w:rPr>
              <w:t xml:space="preserve">CODE 16 Tobacco worker/Coordinator</w:t>
            </w:r>
          </w:p>
          <w:p>
            <w:pPr>
              <w:spacing w:after="160"/>
            </w:pPr>
            <w:r>
              <w:rPr>
                <w:rStyle w:val="row-content-rich-text"/>
              </w:rPr>
              <w:t xml:space="preserve">A Tobacco worker/Coordinator delivers smoking prevention information sessions, implements health promotion activities and delivers smoking cessation and support programs.</w:t>
            </w:r>
          </w:p>
          <w:p>
            <w:pPr>
              <w:spacing w:after="160"/>
            </w:pPr>
            <w:r>
              <w:rPr>
                <w:rStyle w:val="row-content-rich-text"/>
              </w:rPr>
              <w:t xml:space="preserve">CODE 17 Dentists/Dental therapists</w:t>
            </w:r>
          </w:p>
          <w:p>
            <w:pPr>
              <w:spacing w:after="160"/>
            </w:pPr>
            <w:r>
              <w:rPr>
                <w:rStyle w:val="row-content-rich-text"/>
              </w:rPr>
              <w:t xml:space="preserve">A Dentist/Dental therapist diagnoses and treats dental disease, injuries, decay and malformations of the teeth, periodontal tissue (gums), hard and soft tissue found on the mouth and other dento-facial structures using surgery and other techniques. Registration or licensing is required (ABS 2019).</w:t>
            </w:r>
          </w:p>
          <w:p>
            <w:pPr>
              <w:spacing w:after="160"/>
            </w:pPr>
            <w:r>
              <w:rPr>
                <w:rStyle w:val="row-content-rich-text"/>
              </w:rPr>
              <w:t xml:space="preserve">CODE 18 Dental support (e.g. Dental assistant/Dental technician)</w:t>
            </w:r>
          </w:p>
          <w:p>
            <w:pPr>
              <w:spacing w:after="160"/>
            </w:pPr>
            <w:r>
              <w:rPr>
                <w:rStyle w:val="row-content-rich-text"/>
              </w:rPr>
              <w:t xml:space="preserve">Dental support staff prepare patients for dental examination and assist Dental Practitioners, Hygienists and Therapists in providing care and treatment (ABS 2019).</w:t>
            </w:r>
          </w:p>
          <w:p>
            <w:pPr>
              <w:spacing w:after="160"/>
            </w:pPr>
            <w:r>
              <w:rPr>
                <w:rStyle w:val="row-content-rich-text"/>
              </w:rPr>
              <w:t xml:space="preserve">CODE 19 Sexual health worker</w:t>
            </w:r>
          </w:p>
          <w:p>
            <w:pPr>
              <w:spacing w:after="160"/>
            </w:pPr>
            <w:r>
              <w:rPr>
                <w:rStyle w:val="row-content-rich-text"/>
              </w:rPr>
              <w:t xml:space="preserve">A Sexual health worker implements sexual health promotion activities, delivers sexual health clinical services, provides education to community groups, individuals, and other audiences, in relation to sexual health, and STI/HIV management and control. They deliver education and training for health and other professionals that promotes best practice in the area of case finding, contact tracing, screening and diagnosis, treatment and follow-up of STIs and HIV.</w:t>
            </w:r>
          </w:p>
          <w:p>
            <w:pPr>
              <w:spacing w:after="160"/>
            </w:pPr>
            <w:r>
              <w:rPr>
                <w:rStyle w:val="row-content-rich-text"/>
              </w:rPr>
              <w:t xml:space="preserve">CODE 20 Outreach worker</w:t>
            </w:r>
          </w:p>
          <w:p>
            <w:pPr>
              <w:spacing w:after="160"/>
            </w:pPr>
            <w:r>
              <w:rPr>
                <w:rStyle w:val="row-content-rich-text"/>
              </w:rPr>
              <w:t xml:space="preserve">An Outreach worker assists individuals with social or psychological challenges by facilitating lifestyle programs and offering them the support they need. They often work within the community, rather than have clients come to them in an office or clinical setting.</w:t>
            </w:r>
          </w:p>
          <w:p>
            <w:pPr>
              <w:spacing w:after="160"/>
            </w:pPr>
            <w:r>
              <w:rPr>
                <w:rStyle w:val="row-content-rich-text"/>
              </w:rPr>
              <w:t xml:space="preserve">CODE 21 Traditional healer</w:t>
            </w:r>
          </w:p>
          <w:p>
            <w:pPr>
              <w:spacing w:after="160"/>
            </w:pPr>
            <w:r>
              <w:rPr>
                <w:rStyle w:val="row-content-rich-text"/>
              </w:rPr>
              <w:t xml:space="preserve">Traditional healers pass knowledge from generation to generation. They interpret symptoms and provide traditional healing treatments including bush rubs and medicines.</w:t>
            </w:r>
          </w:p>
          <w:p>
            <w:pPr>
              <w:spacing w:after="160"/>
            </w:pPr>
            <w:r>
              <w:rPr>
                <w:rStyle w:val="row-content-rich-text"/>
              </w:rPr>
              <w:t xml:space="preserve">CODE 22 Environmental health worker/Officer</w:t>
            </w:r>
          </w:p>
          <w:p>
            <w:pPr>
              <w:spacing w:after="160"/>
            </w:pPr>
            <w:r>
              <w:rPr>
                <w:rStyle w:val="row-content-rich-text"/>
              </w:rPr>
              <w:t xml:space="preserve">An Environmental health worker/Officer develops, enforces and evaluates environmental health policies, programs and strategies to improve health outcomes, and oversees the implementation and monitoring of environmental health legislation. Registration or licensing may be required (ABS 2019).</w:t>
            </w:r>
          </w:p>
          <w:p>
            <w:pPr>
              <w:spacing w:after="160"/>
            </w:pPr>
            <w:r>
              <w:rPr>
                <w:rStyle w:val="row-content-rich-text"/>
              </w:rPr>
              <w:t xml:space="preserve">CODE 23 Medical specialists</w:t>
            </w:r>
          </w:p>
          <w:p>
            <w:pPr>
              <w:spacing w:after="160"/>
            </w:pPr>
            <w:r>
              <w:rPr>
                <w:rStyle w:val="row-content-rich-text"/>
              </w:rPr>
              <w:t xml:space="preserve">Medical specialists diagnose and treat internal human disorders and diseases using specialist testing, diagnostic and medical techniques (ABS 2019). Codes 23.01–23.11 are considered sub-categories of Code 23. When using this element for disaggregation purposes, use Code 23 for the total of codes 23.01–23.11.</w:t>
            </w:r>
          </w:p>
          <w:p>
            <w:pPr>
              <w:spacing w:after="160"/>
            </w:pPr>
            <w:r>
              <w:rPr>
                <w:rStyle w:val="row-content-rich-text"/>
              </w:rPr>
              <w:t xml:space="preserve">CODE 23.01 Paediatrician</w:t>
            </w:r>
          </w:p>
          <w:p>
            <w:pPr>
              <w:spacing w:after="160"/>
            </w:pPr>
            <w:r>
              <w:rPr>
                <w:rStyle w:val="row-content-rich-text"/>
              </w:rPr>
              <w:t xml:space="preserve">A Paediatrician investigates, diagnoses and treats internal diseases and disorders in children from birth up to, and including, adolescence. Registration or licensing is required (ABS 2019).</w:t>
            </w:r>
          </w:p>
          <w:p>
            <w:pPr>
              <w:spacing w:after="160"/>
            </w:pPr>
            <w:r>
              <w:rPr>
                <w:rStyle w:val="row-content-rich-text"/>
              </w:rPr>
              <w:t xml:space="preserve">CODE 23.02 Endocrinologist</w:t>
            </w:r>
          </w:p>
          <w:p>
            <w:pPr>
              <w:spacing w:after="160"/>
            </w:pPr>
            <w:r>
              <w:rPr>
                <w:rStyle w:val="row-content-rich-text"/>
              </w:rPr>
              <w:t xml:space="preserve">An Endocrinologist investigates, diagnoses and treats disorders of the human glandular and hormonal systems. Registration or licensing is required (ABS 2019).</w:t>
            </w:r>
          </w:p>
          <w:p>
            <w:pPr>
              <w:spacing w:after="160"/>
            </w:pPr>
            <w:r>
              <w:rPr>
                <w:rStyle w:val="row-content-rich-text"/>
              </w:rPr>
              <w:t xml:space="preserve">CODE 23.03 Ophthalmologist</w:t>
            </w:r>
          </w:p>
          <w:p>
            <w:pPr>
              <w:spacing w:after="160"/>
            </w:pPr>
            <w:r>
              <w:rPr>
                <w:rStyle w:val="row-content-rich-text"/>
              </w:rPr>
              <w:t xml:space="preserve">An Ophthalmologist provides diagnostic, treatment and preventative medical services related to diseases, injuries and deficiencies of the human eye and associated structures. Registration or licensing is required (ABS 2019).</w:t>
            </w:r>
          </w:p>
          <w:p>
            <w:pPr>
              <w:spacing w:after="160"/>
            </w:pPr>
            <w:r>
              <w:rPr>
                <w:rStyle w:val="row-content-rich-text"/>
              </w:rPr>
              <w:t xml:space="preserve">CODE 23.04 Obstetrician/Gynaecologist</w:t>
            </w:r>
          </w:p>
          <w:p>
            <w:pPr>
              <w:spacing w:after="160"/>
            </w:pPr>
            <w:r>
              <w:rPr>
                <w:rStyle w:val="row-content-rich-text"/>
              </w:rPr>
              <w:t xml:space="preserve">An Obstetrician/Gynaecologist provides diagnostic, treatment and preventative medical and surgical services related to the care of women, foetuses and children during pregnancy and childbirth, and to disorders of the female genital, urinary, rectal and reproductive organs. Registration or licensing is required (ABS 2019).</w:t>
            </w:r>
          </w:p>
          <w:p>
            <w:pPr>
              <w:spacing w:after="160"/>
            </w:pPr>
            <w:r>
              <w:rPr>
                <w:rStyle w:val="row-content-rich-text"/>
              </w:rPr>
              <w:t xml:space="preserve">CODE 23.05 Ear nose and throat specialist</w:t>
            </w:r>
          </w:p>
          <w:p>
            <w:pPr>
              <w:spacing w:after="160"/>
            </w:pPr>
            <w:r>
              <w:rPr>
                <w:rStyle w:val="row-content-rich-text"/>
              </w:rPr>
              <w:t xml:space="preserve">An Ear nose and throat specialist diagnoses, treats and performs surgery to correct disorders and diseases affecting the ear, nose and throat. Registration or licensing is required (ABS 2019).</w:t>
            </w:r>
          </w:p>
          <w:p>
            <w:pPr>
              <w:spacing w:after="160"/>
            </w:pPr>
            <w:r>
              <w:rPr>
                <w:rStyle w:val="row-content-rich-text"/>
              </w:rPr>
              <w:t xml:space="preserve">CODE 23.06 Cardiologist</w:t>
            </w:r>
          </w:p>
          <w:p>
            <w:pPr>
              <w:spacing w:after="160"/>
            </w:pPr>
            <w:r>
              <w:rPr>
                <w:rStyle w:val="row-content-rich-text"/>
              </w:rPr>
              <w:t xml:space="preserve">A Cardiologist investigates, diagnoses and treats diseases of the human heart. Registration or licensing is required (ABS 2019).</w:t>
            </w:r>
          </w:p>
          <w:p>
            <w:pPr>
              <w:spacing w:after="160"/>
            </w:pPr>
            <w:r>
              <w:rPr>
                <w:rStyle w:val="row-content-rich-text"/>
              </w:rPr>
              <w:t xml:space="preserve">CODE 23.07 Renal Medicine specialist</w:t>
            </w:r>
          </w:p>
          <w:p>
            <w:pPr>
              <w:spacing w:after="160"/>
            </w:pPr>
            <w:r>
              <w:rPr>
                <w:rStyle w:val="row-content-rich-text"/>
              </w:rPr>
              <w:t xml:space="preserve">A Renal Medicine specialist investigates, diagnoses and treats disorders of the human kidney. Registration or licensing is required (ABS 2019).</w:t>
            </w:r>
          </w:p>
          <w:p>
            <w:pPr>
              <w:spacing w:after="160"/>
            </w:pPr>
            <w:r>
              <w:rPr>
                <w:rStyle w:val="row-content-rich-text"/>
              </w:rPr>
              <w:t xml:space="preserve">CODE 23.08 Psychiatrist/Psychiatric Registrar</w:t>
            </w:r>
          </w:p>
          <w:p>
            <w:pPr>
              <w:spacing w:after="160"/>
            </w:pPr>
            <w:r>
              <w:rPr>
                <w:rStyle w:val="row-content-rich-text"/>
              </w:rPr>
              <w:t xml:space="preserve">A Psychiatrist/Psychiatric Registrar diagnoses, assesses, treats and prevents human mental, emotional and behavioural disorders. Registration or licensing is required (ABS 2019).</w:t>
            </w:r>
          </w:p>
          <w:p>
            <w:pPr>
              <w:spacing w:after="160"/>
            </w:pPr>
            <w:r>
              <w:rPr>
                <w:rStyle w:val="row-content-rich-text"/>
              </w:rPr>
              <w:t xml:space="preserve">CODE 23.09 Dermatologist</w:t>
            </w:r>
          </w:p>
          <w:p>
            <w:pPr>
              <w:spacing w:after="160"/>
            </w:pPr>
            <w:r>
              <w:rPr>
                <w:rStyle w:val="row-content-rich-text"/>
              </w:rPr>
              <w:t xml:space="preserve">A Dermatologist provides diagnostic, treatment and preventative medical services related to disorders of the human skin. Registration or licensing is required (ABS 2019).</w:t>
            </w:r>
          </w:p>
          <w:p>
            <w:pPr>
              <w:spacing w:after="160"/>
            </w:pPr>
            <w:r>
              <w:rPr>
                <w:rStyle w:val="row-content-rich-text"/>
              </w:rPr>
              <w:t xml:space="preserve">CODE 23.10 Surgeon</w:t>
            </w:r>
          </w:p>
          <w:p>
            <w:pPr>
              <w:spacing w:after="160"/>
            </w:pPr>
            <w:r>
              <w:rPr>
                <w:rStyle w:val="row-content-rich-text"/>
              </w:rPr>
              <w:t xml:space="preserve">A Surgeon performs surgery to correct deformities, repair injuries, prevent and treat diseases, and improve human functioning and appearance. Registration or licensing is required (ABS 2019).</w:t>
            </w:r>
          </w:p>
          <w:p>
            <w:pPr>
              <w:spacing w:after="160"/>
            </w:pPr>
            <w:r>
              <w:rPr>
                <w:rStyle w:val="row-content-rich-text"/>
              </w:rPr>
              <w:t xml:space="preserve">CODE 23.11 Specialist (other or not specified)</w:t>
            </w:r>
          </w:p>
          <w:p>
            <w:pPr>
              <w:spacing w:after="160"/>
            </w:pPr>
            <w:r>
              <w:rPr>
                <w:rStyle w:val="row-content-rich-text"/>
              </w:rPr>
              <w:t xml:space="preserve">This code refers to other medical specialist staff not further defined.</w:t>
            </w:r>
          </w:p>
          <w:p>
            <w:pPr>
              <w:spacing w:after="160"/>
            </w:pPr>
            <w:r>
              <w:rPr>
                <w:rStyle w:val="row-content-rich-text"/>
              </w:rPr>
              <w:t xml:space="preserve">CODE 24 Social and emotional well-being staff/Counsellors</w:t>
            </w:r>
          </w:p>
          <w:p>
            <w:pPr>
              <w:spacing w:after="160"/>
            </w:pPr>
            <w:r>
              <w:rPr>
                <w:rStyle w:val="row-content-rich-text"/>
              </w:rPr>
              <w:t xml:space="preserve">Social and emotional well-being staff/Counsellors provide social and emotional well-being support for individuals, families and groups. Social and emotional well-being staff/Counsellors Codes 24.01–24.06 are considered sub-categories of Code 24. When using this element for disaggregation purposes, use Code 24 for the total of codes 24.01–24.06.</w:t>
            </w:r>
          </w:p>
          <w:p>
            <w:pPr>
              <w:spacing w:after="160"/>
            </w:pPr>
            <w:r>
              <w:rPr>
                <w:rStyle w:val="row-content-rich-text"/>
              </w:rPr>
              <w:t xml:space="preserve">CODE 24.01 Psychologist</w:t>
            </w:r>
          </w:p>
          <w:p>
            <w:pPr>
              <w:spacing w:after="160"/>
            </w:pPr>
            <w:r>
              <w:rPr>
                <w:rStyle w:val="row-content-rich-text"/>
              </w:rPr>
              <w:t xml:space="preserve">A Psychologist investigates, assesses and provides treatment and counselling to foster optimal personal, social, educational and occupational adjustment and development. Registration or licensing is required (ABS 2019).</w:t>
            </w:r>
          </w:p>
          <w:p>
            <w:pPr>
              <w:spacing w:after="160"/>
            </w:pPr>
            <w:r>
              <w:rPr>
                <w:rStyle w:val="row-content-rich-text"/>
              </w:rPr>
              <w:t xml:space="preserve">CODE 24.02 Counsellor</w:t>
            </w:r>
          </w:p>
          <w:p>
            <w:pPr>
              <w:spacing w:after="160"/>
            </w:pPr>
            <w:r>
              <w:rPr>
                <w:rStyle w:val="row-content-rich-text"/>
              </w:rPr>
              <w:t xml:space="preserve">A Counsellor provides information on vocational, relationship, social and educational difficulties and issues, and works with people to help them to identify and define their emotional issues through therapies such as cognitive behaviour therapy, interpersonal therapy and other talking therapies (ABS 2019).</w:t>
            </w:r>
          </w:p>
          <w:p>
            <w:pPr>
              <w:spacing w:after="160"/>
            </w:pPr>
            <w:r>
              <w:rPr>
                <w:rStyle w:val="row-content-rich-text"/>
              </w:rPr>
              <w:t xml:space="preserve">CODE 24.03 Social worker</w:t>
            </w:r>
          </w:p>
          <w:p>
            <w:pPr>
              <w:spacing w:after="160"/>
            </w:pPr>
            <w:r>
              <w:rPr>
                <w:rStyle w:val="row-content-rich-text"/>
              </w:rPr>
              <w:t xml:space="preserve">A Social worker assesses the social needs of individuals, families and groups, assists and empowers people to develop and use the skills and resources needed to resolve social and other problems, and furthers human wellbeing and human rights, social justice and social development. Registration or licensing may be required (ABS 2019).</w:t>
            </w:r>
          </w:p>
          <w:p>
            <w:pPr>
              <w:spacing w:after="160"/>
            </w:pPr>
            <w:r>
              <w:rPr>
                <w:rStyle w:val="row-content-rich-text"/>
              </w:rPr>
              <w:t xml:space="preserve">CODE 24.04 Welfare worker</w:t>
            </w:r>
          </w:p>
          <w:p>
            <w:pPr>
              <w:spacing w:after="160"/>
            </w:pPr>
            <w:r>
              <w:rPr>
                <w:rStyle w:val="row-content-rich-text"/>
              </w:rPr>
              <w:t xml:space="preserve">A Welfare worker assists individuals, families and groups with social, emotional or financial difficulties to improve quality of life, by educating and supporting them and working towards change in their social environment (ABS 2019).</w:t>
            </w:r>
          </w:p>
          <w:p>
            <w:pPr>
              <w:spacing w:after="160"/>
            </w:pPr>
            <w:r>
              <w:rPr>
                <w:rStyle w:val="row-content-rich-text"/>
              </w:rPr>
              <w:t xml:space="preserve">CODE 24.05 SEWB staff – Link Up caseworker</w:t>
            </w:r>
          </w:p>
          <w:p>
            <w:pPr>
              <w:spacing w:after="160"/>
            </w:pPr>
            <w:r>
              <w:rPr>
                <w:rStyle w:val="row-content-rich-text"/>
              </w:rPr>
              <w:t xml:space="preserve">A Link Up caseworker supports and unites First Nations families and individuals who have been affected by past government policies including those separated from their families and culture through forced removal, those fostered, adopted or raised in institutions.</w:t>
            </w:r>
          </w:p>
          <w:p>
            <w:pPr>
              <w:spacing w:after="160"/>
            </w:pPr>
            <w:r>
              <w:rPr>
                <w:rStyle w:val="row-content-rich-text"/>
              </w:rPr>
              <w:t xml:space="preserve">CODE 24.06 SEWB staff (other or not specified)</w:t>
            </w:r>
          </w:p>
          <w:p>
            <w:pPr>
              <w:spacing w:after="160"/>
            </w:pPr>
            <w:r>
              <w:rPr>
                <w:rStyle w:val="row-content-rich-text"/>
              </w:rPr>
              <w:t xml:space="preserve">This code refers to other social and emotional wellbeing staff not further defined.</w:t>
            </w:r>
          </w:p>
          <w:p>
            <w:pPr>
              <w:spacing w:after="160"/>
            </w:pPr>
            <w:r>
              <w:rPr>
                <w:rStyle w:val="row-content-rich-text"/>
              </w:rPr>
              <w:t xml:space="preserve">CODE 25 Allied health professionals</w:t>
            </w:r>
          </w:p>
          <w:p>
            <w:pPr>
              <w:spacing w:after="160"/>
            </w:pPr>
            <w:r>
              <w:rPr>
                <w:rStyle w:val="row-content-rich-text"/>
              </w:rPr>
              <w:t xml:space="preserve">Allied health professionals are health professionals that are not part of the medical, dental or nursing professions. They are university qualified practitioners with specialised expertise in preventing, diagnosing and treating a range of conditions and illnesses (AHPA 2023). Allied health professionals Codes 25.01–25.09 are considered sub-categories of Code 25. When using this element for disaggregation purposes, use Code 25 for the total of codes 25.01–25.09.</w:t>
            </w:r>
          </w:p>
          <w:p>
            <w:pPr>
              <w:spacing w:after="160"/>
            </w:pPr>
            <w:r>
              <w:rPr>
                <w:rStyle w:val="row-content-rich-text"/>
              </w:rPr>
              <w:t xml:space="preserve">CODE 25.01 Audiologist/Audiometrist</w:t>
            </w:r>
          </w:p>
          <w:p>
            <w:pPr>
              <w:spacing w:after="160"/>
            </w:pPr>
            <w:r>
              <w:rPr>
                <w:rStyle w:val="row-content-rich-text"/>
              </w:rPr>
              <w:t xml:space="preserve">An Audiologist/Audiometrist provides diagnostic assessment and rehabilitative services related to human hearing defects (ABS 2019).</w:t>
            </w:r>
          </w:p>
          <w:p>
            <w:pPr>
              <w:spacing w:after="160"/>
            </w:pPr>
            <w:r>
              <w:rPr>
                <w:rStyle w:val="row-content-rich-text"/>
              </w:rPr>
              <w:t xml:space="preserve">CODE 25.02 Diabetes educator</w:t>
            </w:r>
          </w:p>
          <w:p>
            <w:pPr>
              <w:spacing w:after="160"/>
            </w:pPr>
            <w:r>
              <w:rPr>
                <w:rStyle w:val="row-content-rich-text"/>
              </w:rPr>
              <w:t xml:space="preserve">A Diabetes educator assists health and community groups to improve the health of individuals and the community by raising awareness of healthy lifestyles and diabetes (ABS 2019).</w:t>
            </w:r>
          </w:p>
          <w:p>
            <w:pPr>
              <w:spacing w:after="160"/>
            </w:pPr>
            <w:r>
              <w:rPr>
                <w:rStyle w:val="row-content-rich-text"/>
              </w:rPr>
              <w:t xml:space="preserve">CODE 25.03 Dietician</w:t>
            </w:r>
          </w:p>
          <w:p>
            <w:pPr>
              <w:spacing w:after="160"/>
            </w:pPr>
            <w:r>
              <w:rPr>
                <w:rStyle w:val="row-content-rich-text"/>
              </w:rPr>
              <w:t xml:space="preserve">A Dietician applies the science of human nutrition to help people understand the relationship between food and health and make appropriate dietary choices to attain and maintain health, and to prevent and treat illness and disease (ABS 2019).</w:t>
            </w:r>
          </w:p>
          <w:p>
            <w:pPr>
              <w:spacing w:after="160"/>
            </w:pPr>
            <w:r>
              <w:rPr>
                <w:rStyle w:val="row-content-rich-text"/>
              </w:rPr>
              <w:t xml:space="preserve">CODE 25.04 Optometrist</w:t>
            </w:r>
          </w:p>
          <w:p>
            <w:pPr>
              <w:spacing w:after="160"/>
            </w:pPr>
            <w:r>
              <w:rPr>
                <w:rStyle w:val="row-content-rich-text"/>
              </w:rPr>
              <w:t xml:space="preserve">An Optometrist performs eye examinations and vision tests to determine the presence of visual, ocular and other abnormalities, ocular diseases and systemic diseases with ocular manifestations, and prescribes lenses, other optical aids, therapy and medication to correct and manage vision problems and eye diseases. Registration or licensing is required (ABS 2019).</w:t>
            </w:r>
          </w:p>
          <w:p>
            <w:pPr>
              <w:spacing w:after="160"/>
            </w:pPr>
            <w:r>
              <w:rPr>
                <w:rStyle w:val="row-content-rich-text"/>
              </w:rPr>
              <w:t xml:space="preserve">CODE 25.05 Pharmacist</w:t>
            </w:r>
          </w:p>
          <w:p>
            <w:pPr>
              <w:spacing w:after="160"/>
            </w:pPr>
            <w:r>
              <w:rPr>
                <w:rStyle w:val="row-content-rich-text"/>
              </w:rPr>
              <w:t xml:space="preserve">A Pharmacist prepares and dispenses pharmaceuticals, drugs and medicines. Registration or licensing is required (ABS 2019).</w:t>
            </w:r>
          </w:p>
          <w:p>
            <w:pPr>
              <w:spacing w:after="160"/>
            </w:pPr>
            <w:r>
              <w:rPr>
                <w:rStyle w:val="row-content-rich-text"/>
              </w:rPr>
              <w:t xml:space="preserve">CODE 25.06 Physiotherapist</w:t>
            </w:r>
          </w:p>
          <w:p>
            <w:pPr>
              <w:spacing w:after="160"/>
            </w:pPr>
            <w:r>
              <w:rPr>
                <w:rStyle w:val="row-content-rich-text"/>
              </w:rPr>
              <w:t xml:space="preserve">A Physiotherapist assesses, treats and prevents disorders in human movement caused by injury or disease. Registration or licensing is required (ABS 2019).</w:t>
            </w:r>
          </w:p>
          <w:p>
            <w:pPr>
              <w:spacing w:after="160"/>
            </w:pPr>
            <w:r>
              <w:rPr>
                <w:rStyle w:val="row-content-rich-text"/>
              </w:rPr>
              <w:t xml:space="preserve">CODE 25.07 Podiatrist</w:t>
            </w:r>
          </w:p>
          <w:p>
            <w:pPr>
              <w:spacing w:after="160"/>
            </w:pPr>
            <w:r>
              <w:rPr>
                <w:rStyle w:val="row-content-rich-text"/>
              </w:rPr>
              <w:t xml:space="preserve">A Podiatrist prevents, diagnoses and treats disorders of the feet. Registration or licensing is required (ABS 2019).</w:t>
            </w:r>
          </w:p>
          <w:p>
            <w:pPr>
              <w:spacing w:after="160"/>
            </w:pPr>
            <w:r>
              <w:rPr>
                <w:rStyle w:val="row-content-rich-text"/>
              </w:rPr>
              <w:t xml:space="preserve">CODE 25.08 Speech pathologist</w:t>
            </w:r>
          </w:p>
          <w:p>
            <w:pPr>
              <w:spacing w:after="160"/>
            </w:pPr>
            <w:r>
              <w:rPr>
                <w:rStyle w:val="row-content-rich-text"/>
              </w:rPr>
              <w:t xml:space="preserve">A Speech pathologist provides diagnostic assessment and management of disorders of communication and swallowing through direct intervention, education, consultancy, advocacy, or a combination of these approaches (ABS 2019).</w:t>
            </w:r>
          </w:p>
          <w:p>
            <w:pPr>
              <w:spacing w:after="160"/>
            </w:pPr>
            <w:r>
              <w:rPr>
                <w:rStyle w:val="row-content-rich-text"/>
              </w:rPr>
              <w:t xml:space="preserve">CODE 25.09 Allied health (other or not specified)</w:t>
            </w:r>
          </w:p>
          <w:p>
            <w:pPr>
              <w:spacing w:after="160"/>
            </w:pPr>
            <w:r>
              <w:rPr>
                <w:rStyle w:val="row-content-rich-text"/>
              </w:rPr>
              <w:t xml:space="preserve">This code refers to other allied health staff not further defined.</w:t>
            </w:r>
          </w:p>
          <w:p>
            <w:pPr>
              <w:spacing w:after="160"/>
            </w:pPr>
            <w:r>
              <w:rPr>
                <w:rStyle w:val="row-content-rich-text"/>
              </w:rPr>
              <w:t xml:space="preserve">CODE 26 Health promotion/Prevention worker</w:t>
            </w:r>
          </w:p>
          <w:p>
            <w:pPr>
              <w:spacing w:after="160"/>
            </w:pPr>
            <w:r>
              <w:rPr>
                <w:rStyle w:val="row-content-rich-text"/>
              </w:rPr>
              <w:t xml:space="preserve">A Health promotion/Prevention worker assists health and community groups to improve the health of individuals and the community by raising awareness of healthy lifestyles, disease and disability, and other health-related issues (ABS 2019). Health promotion/Prevention worker Codes 26.01–26.03 are considered sub-categories of Code 26. When using this element for disaggregation purposes, use Code 26 for the total of codes 26.01–26.03.</w:t>
            </w:r>
          </w:p>
          <w:p>
            <w:pPr>
              <w:spacing w:after="160"/>
            </w:pPr>
            <w:r>
              <w:rPr>
                <w:rStyle w:val="row-content-rich-text"/>
              </w:rPr>
              <w:t xml:space="preserve">CODE 26.01 Health promotion staff</w:t>
            </w:r>
          </w:p>
          <w:p>
            <w:pPr>
              <w:spacing w:after="160"/>
            </w:pPr>
            <w:r>
              <w:rPr>
                <w:rStyle w:val="row-content-rich-text"/>
              </w:rPr>
              <w:t xml:space="preserve">Health promotion staff assist health and community groups to improve the health of individuals and the community by raising awareness of healthy lifestyles, disease and disability, and other health-related issues (ABS 2019). </w:t>
            </w:r>
          </w:p>
          <w:p>
            <w:pPr>
              <w:spacing w:after="160"/>
            </w:pPr>
            <w:r>
              <w:rPr>
                <w:rStyle w:val="row-content-rich-text"/>
              </w:rPr>
              <w:t xml:space="preserve">CODE 26.02 Healthy lifestyle workers</w:t>
            </w:r>
          </w:p>
          <w:p>
            <w:pPr>
              <w:spacing w:after="160"/>
            </w:pPr>
            <w:r>
              <w:rPr>
                <w:rStyle w:val="row-content-rich-text"/>
              </w:rPr>
              <w:t xml:space="preserve">A Healthy lifestyle worker implements health and wellbeing preventive programs within the community.</w:t>
            </w:r>
          </w:p>
          <w:p>
            <w:pPr>
              <w:spacing w:after="160"/>
            </w:pPr>
            <w:r>
              <w:rPr>
                <w:rStyle w:val="row-content-rich-text"/>
              </w:rPr>
              <w:t xml:space="preserve">CODE 26.03 Health prevention/promotion (other or not specified)</w:t>
            </w:r>
          </w:p>
          <w:p>
            <w:pPr>
              <w:spacing w:after="160"/>
            </w:pPr>
            <w:r>
              <w:rPr>
                <w:rStyle w:val="row-content-rich-text"/>
              </w:rPr>
              <w:t xml:space="preserve">This code refers to other health prevention/promotion staff not further defined.</w:t>
            </w:r>
          </w:p>
          <w:p>
            <w:pPr>
              <w:spacing w:after="160"/>
            </w:pPr>
            <w:r>
              <w:rPr>
                <w:rStyle w:val="row-content-rich-text"/>
              </w:rPr>
              <w:t xml:space="preserve">CODE 27 Training/Trainee position</w:t>
            </w:r>
          </w:p>
          <w:p>
            <w:pPr>
              <w:spacing w:after="160"/>
            </w:pPr>
            <w:r>
              <w:rPr>
                <w:rStyle w:val="row-content-rich-text"/>
              </w:rPr>
              <w:t xml:space="preserve">A Training/Trainee position is a position where people undergo training and learn the skills for a particular job or profession. Training/Trainee position Codes 27.01–27.03 are considered sub-categories of Code 27. When using this element for disaggregation purposes, use Code 27 for the total of codes 27.01–27.03.</w:t>
            </w:r>
          </w:p>
          <w:p>
            <w:pPr>
              <w:spacing w:after="160"/>
            </w:pPr>
            <w:r>
              <w:rPr>
                <w:rStyle w:val="row-content-rich-text"/>
              </w:rPr>
              <w:t xml:space="preserve">CODE 27.01 ATSHIW</w:t>
            </w:r>
          </w:p>
          <w:p>
            <w:pPr>
              <w:spacing w:after="160"/>
            </w:pPr>
            <w:r>
              <w:rPr>
                <w:rStyle w:val="row-content-rich-text"/>
              </w:rPr>
              <w:t xml:space="preserve">A trainee Aboriginal and Torres Strait Islander Health Worker (ATSIHW) is learning the skills necessary to work as an ATSIHW. They liaise with patients, clients and visitors to hospitals and health clinics and work as a team member to arrange, coordinate and provide health care delivery in Aboriginal and Torres Strait Islander community health clinics.</w:t>
            </w:r>
          </w:p>
          <w:p>
            <w:pPr>
              <w:spacing w:after="160"/>
            </w:pPr>
            <w:r>
              <w:rPr>
                <w:rStyle w:val="row-content-rich-text"/>
              </w:rPr>
              <w:t xml:space="preserve">CODE 27.02 Registrar nurse</w:t>
            </w:r>
          </w:p>
          <w:p>
            <w:pPr>
              <w:spacing w:after="160"/>
            </w:pPr>
            <w:r>
              <w:rPr>
                <w:rStyle w:val="row-content-rich-text"/>
              </w:rPr>
              <w:t xml:space="preserve">A registrar nurse is training to become a nurse. They provide nursing care to patients in hospitals, aged care and other health care facilities, and in the community.</w:t>
            </w:r>
          </w:p>
          <w:p>
            <w:pPr>
              <w:spacing w:after="160"/>
            </w:pPr>
            <w:r>
              <w:rPr>
                <w:rStyle w:val="row-content-rich-text"/>
              </w:rPr>
              <w:t xml:space="preserve">CODE 27.03 Health training position (other or not specified)</w:t>
            </w:r>
          </w:p>
          <w:p>
            <w:pPr>
              <w:spacing w:after="160"/>
            </w:pPr>
            <w:r>
              <w:rPr>
                <w:rStyle w:val="row-content-rich-text"/>
              </w:rPr>
              <w:t xml:space="preserve">This code refers to other health training positions not further defined.</w:t>
            </w:r>
          </w:p>
          <w:p>
            <w:pPr>
              <w:spacing w:after="160"/>
            </w:pPr>
            <w:r>
              <w:rPr>
                <w:rStyle w:val="row-content-rich-text"/>
              </w:rPr>
              <w:t xml:space="preserve">CODE 88 Other</w:t>
            </w:r>
          </w:p>
          <w:p>
            <w:pPr/>
            <w:r>
              <w:rPr>
                <w:rStyle w:val="row-content-rich-text"/>
              </w:rPr>
              <w:t xml:space="preserve">This code refers to other staff not further defined.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 </w:t>
            </w:r>
            <w:hyperlink w:history="true" r:id="Re3a8e60025db4f61">
              <w:r>
                <w:rPr>
                  <w:rStyle w:val="Hyperlink"/>
                  <w:i/>
                </w:rPr>
                <w:t xml:space="preserve">ANZSCO Australian and New Zealand Standard Classification of Occupations, 2013, version 1.3</w:t>
              </w:r>
            </w:hyperlink>
            <w:r>
              <w:rPr>
                <w:rStyle w:val="row-content-rich-text"/>
              </w:rPr>
              <w:t xml:space="preserve">, ABS website, accessed 23 February 2022. </w:t>
            </w:r>
          </w:p>
          <w:p>
            <w:pPr>
              <w:spacing w:after="160"/>
            </w:pPr>
            <w:r>
              <w:rPr>
                <w:rStyle w:val="row-content-rich-text"/>
              </w:rPr>
              <w:t xml:space="preserve">AHPA (Allied Health Professionals Australia) (2023) </w:t>
            </w:r>
            <w:hyperlink w:history="true" r:id="R95832b0408ff4e86">
              <w:r>
                <w:rPr>
                  <w:rStyle w:val="Hyperlink"/>
                  <w:i/>
                </w:rPr>
                <w:t xml:space="preserve">Allied Health Professions Australia</w:t>
              </w:r>
            </w:hyperlink>
            <w:r>
              <w:rPr>
                <w:rStyle w:val="row-content-rich-text"/>
              </w:rPr>
              <w:t xml:space="preserve"> website, accessed 5 October 2023.</w:t>
            </w:r>
          </w:p>
          <w:p>
            <w:pPr/>
            <w:r>
              <w:rPr>
                <w:rStyle w:val="row-content-rich-text"/>
              </w:rPr>
              <w:t xml:space="preserve">NAATSIHWP (National Association of Aboriginal and Torres Strait Islander Health Workers and Practitioners) (2018) </w:t>
            </w:r>
            <w:hyperlink w:history="true" r:id="R54c2bb4bae6f4e61">
              <w:r>
                <w:rPr>
                  <w:rStyle w:val="Hyperlink"/>
                  <w:i/>
                </w:rPr>
                <w:t xml:space="preserve">Who we are and what we do</w:t>
              </w:r>
            </w:hyperlink>
            <w:r>
              <w:rPr>
                <w:rStyle w:val="row-content-rich-text"/>
              </w:rPr>
              <w:t xml:space="preserve">, NAATSIHWP, accessed 21 July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e4b192ff5040cc">
              <w:r>
                <w:rPr>
                  <w:rStyle w:val="Hyperlink"/>
                </w:rPr>
                <w:t xml:space="preserve">Service provider organisation—staffing categories, Aboriginal and Torres Strait Islander primary health-care services full-time equivalent unpaid staffing categories code N[N]</w:t>
              </w:r>
            </w:hyperlink>
          </w:p>
          <w:p>
            <w:pPr>
              <w:pStyle w:val="registration-status"/>
              <w:spacing w:before="0" w:after="0"/>
            </w:pPr>
            <w:hyperlink w:history="true" r:id="R046e9febdfcc4187">
              <w:r>
                <w:rPr>
                  <w:rStyle w:val="Hyperlink"/>
                  <w:color w:val="244061"/>
                </w:rPr>
                <w:t xml:space="preserve">Indigenous</w:t>
              </w:r>
            </w:hyperlink>
            <w:r>
              <w:rPr>
                <w:rStyle w:val="row-content"/>
                <w:color w:val="244061"/>
              </w:rPr>
              <w:t xml:space="preserve">, Superseded 07/04/2024</w:t>
            </w:r>
          </w:p>
          <w:p>
            <w:r>
              <w:br/>
            </w:r>
            <w:r>
              <w:rPr>
                <w:rStyle w:val="row-content"/>
              </w:rPr>
              <w:t xml:space="preserve">Supersedes </w:t>
            </w:r>
            <w:hyperlink w:history="true" r:id="R4a3d0b586186402c">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be0d48535ec64368">
              <w:r>
                <w:rPr>
                  <w:rStyle w:val="Hyperlink"/>
                  <w:color w:val="244061"/>
                </w:rPr>
                <w:t xml:space="preserve">Indigenous</w:t>
              </w:r>
            </w:hyperlink>
            <w:r>
              <w:rPr>
                <w:rStyle w:val="row-content"/>
                <w:color w:val="244061"/>
              </w:rPr>
              <w:t xml:space="preserve">, Superseded 07/04/2024</w:t>
            </w:r>
          </w:p>
          <w:p>
            <w:r>
              <w:br/>
            </w:r>
            <w:r>
              <w:rPr>
                <w:rStyle w:val="row-content"/>
              </w:rPr>
              <w:t xml:space="preserve">See also </w:t>
            </w:r>
            <w:hyperlink w:history="true" r:id="R5d81f977a7f34efc">
              <w:r>
                <w:rPr>
                  <w:rStyle w:val="Hyperlink"/>
                </w:rPr>
                <w:t xml:space="preserve">Service provider organisation—staffing categories, text X[X(199)]</w:t>
              </w:r>
            </w:hyperlink>
          </w:p>
          <w:p>
            <w:pPr>
              <w:pStyle w:val="registration-status"/>
              <w:spacing w:before="0" w:after="0"/>
            </w:pPr>
            <w:hyperlink w:history="true" r:id="R8f95731005d7460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0687850ed442dd">
              <w:r>
                <w:rPr>
                  <w:rStyle w:val="Hyperlink"/>
                </w:rPr>
                <w:t xml:space="preserve">Online Services Report (OSR) DSS 2020–21</w:t>
              </w:r>
            </w:hyperlink>
          </w:p>
          <w:p>
            <w:pPr>
              <w:pStyle w:val="registration-status"/>
              <w:spacing w:before="0" w:after="0"/>
            </w:pPr>
            <w:hyperlink w:history="true" r:id="R2a8c2672af0c4c7b">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are provided to the AIHW. This data element is reported 3 times as a disaggregation for:</w:t>
            </w:r>
          </w:p>
          <w:p>
            <w:pPr>
              <w:pStyle w:val="ListParagraph"/>
              <w:numPr>
                <w:ilvl w:val="0"/>
                <w:numId w:val="2"/>
              </w:numPr>
            </w:pPr>
            <w:r>
              <w:rPr>
                <w:rStyle w:val="row-content"/>
              </w:rPr>
              <w:t xml:space="preserve">paid FTE </w:t>
            </w:r>
            <w:hyperlink w:history="true" r:id="Rca31e9c3917e4be7">
              <w:r>
                <w:rPr>
                  <w:rStyle w:val="Hyperlink"/>
                </w:rPr>
                <w:t xml:space="preserve">Service provider organisation—full-time equivalent staff (paid), total N[NNN{.N}]</w:t>
              </w:r>
            </w:hyperlink>
          </w:p>
          <w:p>
            <w:pPr>
              <w:pStyle w:val="ListParagraph"/>
              <w:numPr>
                <w:ilvl w:val="0"/>
                <w:numId w:val="2"/>
              </w:numPr>
            </w:pPr>
            <w:r>
              <w:rPr>
                <w:rStyle w:val="row-content"/>
              </w:rPr>
              <w:t xml:space="preserve">unpaid FTE </w:t>
            </w:r>
            <w:hyperlink w:history="true" r:id="R64af91e97dd64cde">
              <w:r>
                <w:rPr>
                  <w:rStyle w:val="Hyperlink"/>
                </w:rPr>
                <w:t xml:space="preserve">Service provider organisation—full-time equivalent staff (volunteer/unpaid), total N[NNN{.N}]</w:t>
              </w:r>
            </w:hyperlink>
          </w:p>
          <w:p>
            <w:pPr>
              <w:pStyle w:val="ListParagraph"/>
              <w:numPr>
                <w:ilvl w:val="0"/>
                <w:numId w:val="2"/>
              </w:numPr>
            </w:pPr>
            <w:r>
              <w:rPr>
                <w:rStyle w:val="row-content"/>
              </w:rPr>
              <w:t xml:space="preserve">vacant positions </w:t>
            </w:r>
            <w:hyperlink w:history="true" r:id="R3ddadf759e124ed9">
              <w:r>
                <w:rPr>
                  <w:rStyle w:val="Hyperlink"/>
                </w:rPr>
                <w:t xml:space="preserve">Service provider organisation—full-time equivalent, unit N[.N]</w:t>
              </w:r>
            </w:hyperlink>
            <w:r>
              <w:rPr>
                <w:rStyle w:val="row-content"/>
              </w:rPr>
              <w:t xml:space="preserve"> and </w:t>
            </w:r>
            <w:hyperlink w:history="true" r:id="R68b6d877b352486d">
              <w:r>
                <w:rPr>
                  <w:rStyle w:val="Hyperlink"/>
                </w:rPr>
                <w:t xml:space="preserve">Service provider organisation—length of time position vacant, total weeks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e3a5c4eeed3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755704</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523a78f37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a5c4eeed3402e" /><Relationship Type="http://schemas.openxmlformats.org/officeDocument/2006/relationships/header" Target="/word/header1.xml" Id="Rcd44285c463146d9" /><Relationship Type="http://schemas.openxmlformats.org/officeDocument/2006/relationships/settings" Target="/word/settings.xml" Id="R8abf0f5b956b4a93" /><Relationship Type="http://schemas.openxmlformats.org/officeDocument/2006/relationships/styles" Target="/word/styles.xml" Id="R16d70584cc724063" /><Relationship Type="http://schemas.openxmlformats.org/officeDocument/2006/relationships/numbering" Target="/word/numbering.xml" Id="R2e6640a29cc44848" /><Relationship Type="http://schemas.openxmlformats.org/officeDocument/2006/relationships/hyperlink" Target="https://meteor.aihw.gov.au/RegistrationAuthority/6" TargetMode="External" Id="R46127ad7f1014805" /><Relationship Type="http://schemas.openxmlformats.org/officeDocument/2006/relationships/hyperlink" Target="https://meteor.aihw.gov.au/content/573569" TargetMode="External" Id="Re66af8c8584e4cc5" /><Relationship Type="http://schemas.openxmlformats.org/officeDocument/2006/relationships/hyperlink" Target="https://meteor.aihw.gov.au/RegistrationAuthority/6" TargetMode="External" Id="R9e79670a0084452f" /><Relationship Type="http://schemas.openxmlformats.org/officeDocument/2006/relationships/hyperlink" Target="https://meteor.aihw.gov.au/content/269022" TargetMode="External" Id="Rd7ebc7f0f92d4031" /><Relationship Type="http://schemas.openxmlformats.org/officeDocument/2006/relationships/hyperlink" Target="https://meteor.aihw.gov.au/content/552469" TargetMode="External" Id="R1e9f1e180e264cd6" /><Relationship Type="http://schemas.openxmlformats.org/officeDocument/2006/relationships/hyperlink" Target="https://meteor.aihw.gov.au/content/755702" TargetMode="External" Id="Rf962a7252893478f" /><Relationship Type="http://schemas.openxmlformats.org/officeDocument/2006/relationships/hyperlink" Target="https://meteor.aihw.gov.au/RegistrationAuthority/6" TargetMode="External" Id="Rbb2aae8e77a24644" /><Relationship Type="http://schemas.openxmlformats.org/officeDocument/2006/relationships/hyperlink" Target="https://meteor.aihw.gov.au/content/780756" TargetMode="External" Id="Ra754b686b6ed4399" /><Relationship Type="http://schemas.openxmlformats.org/officeDocument/2006/relationships/hyperlink" Target="https://meteor.aihw.gov.au/content/780756" TargetMode="External" Id="R5907d34d3d784be9" /><Relationship Type="http://schemas.openxmlformats.org/officeDocument/2006/relationships/hyperlink" Target="https://www.abs.gov.au/AUSSTATS/abs@.nsf/allprimarymainfeatures/FCC055588D3EBA19CA2584A8000E7889?opendocument" TargetMode="External" Id="Re3a8e60025db4f61" /><Relationship Type="http://schemas.openxmlformats.org/officeDocument/2006/relationships/hyperlink" Target="https://ahpa.com.au/" TargetMode="External" Id="R95832b0408ff4e86" /><Relationship Type="http://schemas.openxmlformats.org/officeDocument/2006/relationships/hyperlink" Target="https://www.naatsihwp.org.au/what-atsi-health-workers-and-health-practitioners-do" TargetMode="External" Id="R54c2bb4bae6f4e61" /><Relationship Type="http://schemas.openxmlformats.org/officeDocument/2006/relationships/hyperlink" Target="https://meteor.aihw.gov.au/content/567330" TargetMode="External" Id="Re5e4b192ff5040cc" /><Relationship Type="http://schemas.openxmlformats.org/officeDocument/2006/relationships/hyperlink" Target="https://meteor.aihw.gov.au/RegistrationAuthority/6" TargetMode="External" Id="R046e9febdfcc4187" /><Relationship Type="http://schemas.openxmlformats.org/officeDocument/2006/relationships/hyperlink" Target="https://meteor.aihw.gov.au/content/573576" TargetMode="External" Id="R4a3d0b586186402c" /><Relationship Type="http://schemas.openxmlformats.org/officeDocument/2006/relationships/hyperlink" Target="https://meteor.aihw.gov.au/RegistrationAuthority/6" TargetMode="External" Id="Rbe0d48535ec64368" /><Relationship Type="http://schemas.openxmlformats.org/officeDocument/2006/relationships/hyperlink" Target="https://meteor.aihw.gov.au/content/567307" TargetMode="External" Id="R5d81f977a7f34efc" /><Relationship Type="http://schemas.openxmlformats.org/officeDocument/2006/relationships/hyperlink" Target="https://meteor.aihw.gov.au/RegistrationAuthority/6" TargetMode="External" Id="R8f95731005d7460f" /><Relationship Type="http://schemas.openxmlformats.org/officeDocument/2006/relationships/hyperlink" Target="https://meteor.aihw.gov.au/content/754789" TargetMode="External" Id="Rb40687850ed442dd" /><Relationship Type="http://schemas.openxmlformats.org/officeDocument/2006/relationships/hyperlink" Target="https://meteor.aihw.gov.au/RegistrationAuthority/6" TargetMode="External" Id="R2a8c2672af0c4c7b" /><Relationship Type="http://schemas.openxmlformats.org/officeDocument/2006/relationships/hyperlink" Target="https://meteor.aihw.gov.au/content/270213" TargetMode="External" Id="Rca31e9c3917e4be7" /><Relationship Type="http://schemas.openxmlformats.org/officeDocument/2006/relationships/hyperlink" Target="https://meteor.aihw.gov.au/content/270214" TargetMode="External" Id="R64af91e97dd64cde" /><Relationship Type="http://schemas.openxmlformats.org/officeDocument/2006/relationships/hyperlink" Target="https://meteor.aihw.gov.au/content/755732" TargetMode="External" Id="R3ddadf759e124ed9" /><Relationship Type="http://schemas.openxmlformats.org/officeDocument/2006/relationships/hyperlink" Target="https://meteor.aihw.gov.au/content/567245" TargetMode="External" Id="R68b6d877b352486d" /></Relationships>
</file>

<file path=word/_rels/header1.xml.rels>&#65279;<?xml version="1.0" encoding="utf-8"?><Relationships xmlns="http://schemas.openxmlformats.org/package/2006/relationships"><Relationship Type="http://schemas.openxmlformats.org/officeDocument/2006/relationships/image" Target="/media/image.png" Id="Rc2d523a78f3742e1" /></Relationships>
</file>