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57f7a5d8f48f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 care staffing categories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 care staffing categories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9799e782842a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primary health care to Aboriginal and Torres Strait Islander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Finance and accounting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IT and data management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Cleaners/Security/Other support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Administrative/Support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and Torres Strait Islander Health Worker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Environmental health worker/Officer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23.01</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23.02</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23.04</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23.05</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23.06</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23.07</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23.08</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23.09</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23.10</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23.11</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Social and emotional well-being staff/Counsellors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24.01</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24.02</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24.04</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24.05</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24.06</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25.01</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25.02</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25.03</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25.05</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25.06</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25.07</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25.08</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25.09</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 promotion/Prevention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26.01</w:t>
            </w:r>
          </w:p>
        </w:tc>
        <w:tc>
          <w:tcPr>
            <w:tcBorders>
              <w:top w:val="none" w:color="000000" w:sz="0"/>
              <w:left w:val="none" w:color="000000" w:sz="0"/>
              <w:bottom w:val="none" w:color="000000" w:sz="0"/>
              <w:right w:val="none" w:color="000000" w:sz="0"/>
            </w:tcBorders>
            <w:vAlign w:val="top"/>
          </w:tcPr>
          <w:p>
            <w:r>
              <w:t xml:space="preserve">Health promotion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26.02</w:t>
            </w:r>
          </w:p>
        </w:tc>
        <w:tc>
          <w:tcPr>
            <w:tcBorders>
              <w:top w:val="none" w:color="000000" w:sz="0"/>
              <w:left w:val="none" w:color="000000" w:sz="0"/>
              <w:bottom w:val="none" w:color="000000" w:sz="0"/>
              <w:right w:val="none" w:color="000000" w:sz="0"/>
            </w:tcBorders>
            <w:vAlign w:val="top"/>
          </w:tcPr>
          <w:p>
            <w:r>
              <w:t xml:space="preserve">Healthy lifestyle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26.03</w:t>
            </w:r>
          </w:p>
        </w:tc>
        <w:tc>
          <w:tcPr>
            <w:tcBorders>
              <w:top w:val="none" w:color="000000" w:sz="0"/>
              <w:left w:val="none" w:color="000000" w:sz="0"/>
              <w:bottom w:val="none" w:color="000000" w:sz="0"/>
              <w:right w:val="none" w:color="000000" w:sz="0"/>
            </w:tcBorders>
            <w:vAlign w:val="top"/>
          </w:tcPr>
          <w:p>
            <w:r>
              <w:t xml:space="preserve">Health prevention/promotion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Training/Trainee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27.01</w:t>
            </w:r>
          </w:p>
        </w:tc>
        <w:tc>
          <w:tcPr>
            <w:tcBorders>
              <w:top w:val="none" w:color="000000" w:sz="0"/>
              <w:left w:val="none" w:color="000000" w:sz="0"/>
              <w:bottom w:val="none" w:color="000000" w:sz="0"/>
              <w:right w:val="none" w:color="000000" w:sz="0"/>
            </w:tcBorders>
            <w:vAlign w:val="top"/>
          </w:tcPr>
          <w:p>
            <w:r>
              <w:t xml:space="preserve">ATSIHW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27.02</w:t>
            </w:r>
          </w:p>
        </w:tc>
        <w:tc>
          <w:tcPr>
            <w:tcBorders>
              <w:top w:val="none" w:color="000000" w:sz="0"/>
              <w:left w:val="none" w:color="000000" w:sz="0"/>
              <w:bottom w:val="none" w:color="000000" w:sz="0"/>
              <w:right w:val="none" w:color="000000" w:sz="0"/>
            </w:tcBorders>
            <w:vAlign w:val="top"/>
          </w:tcPr>
          <w:p>
            <w:r>
              <w:t xml:space="preserve">Registrar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27.03</w:t>
            </w:r>
          </w:p>
        </w:tc>
        <w:tc>
          <w:tcPr>
            <w:tcBorders>
              <w:top w:val="none" w:color="000000" w:sz="0"/>
              <w:left w:val="none" w:color="000000" w:sz="0"/>
              <w:bottom w:val="none" w:color="000000" w:sz="0"/>
              <w:right w:val="none" w:color="000000" w:sz="0"/>
            </w:tcBorders>
            <w:vAlign w:val="top"/>
          </w:tcPr>
          <w:p>
            <w:r>
              <w:t xml:space="preserve">Health training position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CEO</w:t>
            </w:r>
          </w:p>
          <w:p>
            <w:pPr>
              <w:spacing w:after="160"/>
            </w:pPr>
            <w:r>
              <w:rPr>
                <w:rStyle w:val="row-content-rich-text"/>
              </w:rPr>
              <w:t xml:space="preserve">A Chief Executive Officer (CEO) determines, formulates and reviews the general policy program and the overall direction of an organisation within the framework established by a board of directors or similar governing body (ABS 2019).</w:t>
            </w:r>
          </w:p>
          <w:p>
            <w:pPr>
              <w:spacing w:after="160"/>
            </w:pPr>
            <w:r>
              <w:rPr>
                <w:rStyle w:val="row-content-rich-text"/>
              </w:rPr>
              <w:t xml:space="preserve">CODE 2 Managers/Supervisors</w:t>
            </w:r>
          </w:p>
          <w:p>
            <w:pPr>
              <w:spacing w:after="160"/>
            </w:pPr>
            <w:r>
              <w:rPr>
                <w:rStyle w:val="row-content-rich-text"/>
              </w:rPr>
              <w:t xml:space="preserve">A Manager/Supervisor plans, organises, directs, controls and reviews the day-to-day operations and major functions of a commercial, industrial, governmental or other organisation through departmental managers and subordinate executives (ABS 2019).</w:t>
            </w:r>
          </w:p>
          <w:p>
            <w:pPr>
              <w:spacing w:after="160"/>
            </w:pPr>
            <w:r>
              <w:rPr>
                <w:rStyle w:val="row-content-rich-text"/>
              </w:rPr>
              <w:t xml:space="preserve">CODE 3 Drivers/Field officers</w:t>
            </w:r>
          </w:p>
          <w:p>
            <w:pPr>
              <w:spacing w:after="160"/>
            </w:pPr>
            <w:r>
              <w:rPr>
                <w:rStyle w:val="row-content-rich-text"/>
              </w:rPr>
              <w:t xml:space="preserve">A Driver/Field officer transports patients to and from health services.</w:t>
            </w:r>
          </w:p>
          <w:p>
            <w:pPr>
              <w:spacing w:after="160"/>
            </w:pPr>
            <w:r>
              <w:rPr>
                <w:rStyle w:val="row-content-rich-text"/>
              </w:rPr>
              <w:t xml:space="preserve">CODE 4 Finance and accounting staff</w:t>
            </w:r>
          </w:p>
          <w:p>
            <w:pPr>
              <w:spacing w:after="160"/>
            </w:pPr>
            <w:r>
              <w:rPr>
                <w:rStyle w:val="row-content-rich-text"/>
              </w:rPr>
              <w:t xml:space="preserve">Finance and accounting staff compile, record and process documents relating to creditors and debtors, operating costs, financial transactions and payrolls (ABS 2019).</w:t>
            </w:r>
          </w:p>
          <w:p>
            <w:pPr>
              <w:spacing w:after="160"/>
            </w:pPr>
            <w:r>
              <w:rPr>
                <w:rStyle w:val="row-content-rich-text"/>
              </w:rPr>
              <w:t xml:space="preserve">CODE 5 Administrative and clerical staff</w:t>
            </w:r>
          </w:p>
          <w:p>
            <w:pPr>
              <w:spacing w:after="160"/>
            </w:pPr>
            <w:r>
              <w:rPr>
                <w:rStyle w:val="row-content-rich-text"/>
              </w:rPr>
              <w:t xml:space="preserve">Administrative and clerical staff provide support to Managers, Professionals and organisations by organising, storing, manipulating and retrieving information (ABS 2019).</w:t>
            </w:r>
          </w:p>
          <w:p>
            <w:pPr>
              <w:spacing w:after="160"/>
            </w:pPr>
            <w:r>
              <w:rPr>
                <w:rStyle w:val="row-content-rich-text"/>
              </w:rPr>
              <w:t xml:space="preserve">CODE 6 IT and data management staff</w:t>
            </w:r>
          </w:p>
          <w:p>
            <w:pPr>
              <w:spacing w:after="160"/>
            </w:pPr>
            <w:r>
              <w:rPr>
                <w:rStyle w:val="row-content-rich-text"/>
              </w:rPr>
              <w:t xml:space="preserve">Information Technology (IT) staff research, analyse, plan, design, install, monitor and maintain information and communications technology (ICT) systems to support the business needs of organisations and individuals. Data management staff plan, develop, maintain, manage and administer organisations' database management systems, operating systems and security policies and procedures to ensure optimal database and system integrity, security, backup, reliability and performance (ABS 2019).</w:t>
            </w:r>
          </w:p>
          <w:p>
            <w:pPr>
              <w:spacing w:after="160"/>
            </w:pPr>
            <w:r>
              <w:rPr>
                <w:rStyle w:val="row-content-rich-text"/>
              </w:rPr>
              <w:t xml:space="preserve">CODE 7 Cleaners/Security/Other support staff</w:t>
            </w:r>
          </w:p>
          <w:p>
            <w:pPr>
              <w:spacing w:after="160"/>
            </w:pPr>
            <w:r>
              <w:rPr>
                <w:rStyle w:val="row-content-rich-text"/>
              </w:rPr>
              <w:t xml:space="preserve">Cleaners clean offices, residential complexes, hospitals and other commercial premises. Security Officers patrol and guard industrial and commercial property, railway yards, stations and other facilities. Registration or licensing may be required (ABS 2019). Other support staff include support staff not further defined.</w:t>
            </w:r>
          </w:p>
          <w:p>
            <w:pPr>
              <w:spacing w:after="160"/>
            </w:pPr>
            <w:r>
              <w:rPr>
                <w:rStyle w:val="row-content-rich-text"/>
              </w:rPr>
              <w:t xml:space="preserve">CODE 8 Administrative/Support trainees</w:t>
            </w:r>
          </w:p>
          <w:p>
            <w:pPr>
              <w:spacing w:after="160"/>
            </w:pPr>
            <w:r>
              <w:rPr>
                <w:rStyle w:val="row-content-rich-text"/>
              </w:rPr>
              <w:t xml:space="preserve">Administrative/Support trainees are staff training to work as administrative/support staff.</w:t>
            </w:r>
          </w:p>
          <w:p>
            <w:pPr>
              <w:spacing w:after="160"/>
            </w:pPr>
            <w:r>
              <w:rPr>
                <w:rStyle w:val="row-content-rich-text"/>
              </w:rPr>
              <w:t xml:space="preserve">CODE 9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193debf3b35e44c9">
              <w:r>
                <w:rPr>
                  <w:rStyle w:val="Hyperlink"/>
                  <w:b/>
                </w:rPr>
                <w:t xml:space="preserve">Aboriginal and Torres Strait Islander health worker</w:t>
              </w:r>
            </w:hyperlink>
            <w:r>
              <w:rPr>
                <w:rStyle w:val="row-content-rich-text"/>
              </w:rPr>
              <w:t xml:space="preserve"> (AHW) – male</w:t>
            </w:r>
          </w:p>
          <w:p>
            <w:pPr>
              <w:spacing w:after="160"/>
            </w:pPr>
            <w:r>
              <w:rPr>
                <w:rStyle w:val="row-content-rich-text"/>
              </w:rPr>
              <w:t xml:space="preserve">A 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10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1bfc298d9b884c3c">
              <w:r>
                <w:rPr>
                  <w:rStyle w:val="Hyperlink"/>
                  <w:b/>
                </w:rPr>
                <w:t xml:space="preserve">Aboriginal and Torres Strait Islander health worker</w:t>
              </w:r>
            </w:hyperlink>
            <w:r>
              <w:rPr>
                <w:rStyle w:val="row-content-rich-text"/>
              </w:rPr>
              <w:t xml:space="preserve"> – female</w:t>
            </w:r>
          </w:p>
          <w:p>
            <w:pPr>
              <w:spacing w:after="160"/>
            </w:pPr>
            <w:r>
              <w:rPr>
                <w:rStyle w:val="row-content-rich-text"/>
              </w:rPr>
              <w:t xml:space="preserve">A female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11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12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13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14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15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16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17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18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19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20 Outreach worker</w:t>
            </w:r>
          </w:p>
          <w:p>
            <w:pPr>
              <w:spacing w:after="160"/>
            </w:pPr>
            <w:r>
              <w:rPr>
                <w:rStyle w:val="row-content-rich-text"/>
              </w:rPr>
              <w:t xml:space="preserve">An Outreach worker assists individuals with social or psychological challenges by facilitating lifestyle programs and offering them the support they need. They often work within the community, rather than have clients come to them in an office or clinical setting.</w:t>
            </w:r>
          </w:p>
          <w:p>
            <w:pPr>
              <w:spacing w:after="160"/>
            </w:pPr>
            <w:r>
              <w:rPr>
                <w:rStyle w:val="row-content-rich-text"/>
              </w:rPr>
              <w:t xml:space="preserve">CODE 21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22 Environmental health worker/Officer</w:t>
            </w:r>
          </w:p>
          <w:p>
            <w:pPr>
              <w:spacing w:after="160"/>
            </w:pPr>
            <w:r>
              <w:rPr>
                <w:rStyle w:val="row-content-rich-text"/>
              </w:rPr>
              <w:t xml:space="preserve">An Environmental health worker/Officer develops, enforces and evaluates environmental health policies, programs and strategies to improve health outcomes, and oversees the implementation and monitoring of environmental health legislation. Registration or licensing may be required (ABS 2019).</w:t>
            </w:r>
          </w:p>
          <w:p>
            <w:pPr>
              <w:spacing w:after="160"/>
            </w:pPr>
            <w:r>
              <w:rPr>
                <w:rStyle w:val="row-content-rich-text"/>
              </w:rPr>
              <w:t xml:space="preserve">CODE 23 Medical specialists</w:t>
            </w:r>
          </w:p>
          <w:p>
            <w:pPr>
              <w:spacing w:after="160"/>
            </w:pPr>
            <w:r>
              <w:rPr>
                <w:rStyle w:val="row-content-rich-text"/>
              </w:rPr>
              <w:t xml:space="preserve">Medical specialists diagnose and treat internal human disorders and diseases using specialist testing, diagnostic and medical techniques (ABS 2019). Codes 23.01–23.11 are considered sub-categories of Code 23. When using this element for disaggregation purposes, use Code 23 for the total of codes 23.01–23.11.</w:t>
            </w:r>
          </w:p>
          <w:p>
            <w:pPr>
              <w:spacing w:after="160"/>
            </w:pPr>
            <w:r>
              <w:rPr>
                <w:rStyle w:val="row-content-rich-text"/>
              </w:rPr>
              <w:t xml:space="preserve">CODE 23.01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23.02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23.03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23.04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23.05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23.06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23.07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23.08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23.09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23.10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23.11 Specialist (other or not specified)</w:t>
            </w:r>
          </w:p>
          <w:p>
            <w:pPr>
              <w:spacing w:after="160"/>
            </w:pPr>
            <w:r>
              <w:rPr>
                <w:rStyle w:val="row-content-rich-text"/>
              </w:rPr>
              <w:t xml:space="preserve">This code refers to other medical specialist staff not further defined.</w:t>
            </w:r>
          </w:p>
          <w:p>
            <w:pPr>
              <w:spacing w:after="160"/>
            </w:pPr>
            <w:r>
              <w:rPr>
                <w:rStyle w:val="row-content-rich-text"/>
              </w:rPr>
              <w:t xml:space="preserve">CODE 24 Social and emotional well-being staff/Counsellors</w:t>
            </w:r>
          </w:p>
          <w:p>
            <w:pPr>
              <w:spacing w:after="160"/>
            </w:pPr>
            <w:r>
              <w:rPr>
                <w:rStyle w:val="row-content-rich-text"/>
              </w:rPr>
              <w:t xml:space="preserve">Social and emotional well-being staff/Counsellors provide social and emotional well-being support for individuals, families and groups. Social and emotional well-being staff/Counsellors Codes 24.01–24.06 are considered sub-categories of Code 24. When using this element for disaggregation purposes, use Code 24 for the total of codes 24.01–24.06.</w:t>
            </w:r>
          </w:p>
          <w:p>
            <w:pPr>
              <w:spacing w:after="160"/>
            </w:pPr>
            <w:r>
              <w:rPr>
                <w:rStyle w:val="row-content-rich-text"/>
              </w:rPr>
              <w:t xml:space="preserve">CODE 24.01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24.02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24.03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24.04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24.05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24.06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25 Allied health professionals</w:t>
            </w:r>
          </w:p>
          <w:p>
            <w:pPr>
              <w:spacing w:after="160"/>
            </w:pPr>
            <w:r>
              <w:rPr>
                <w:rStyle w:val="row-content-rich-text"/>
              </w:rPr>
              <w:t xml:space="preserve">Allied health professionals are health professionals that are not part of the medical, dental or nursing professions. They are university qualified practitioners with specialised expertise in preventing, diagnosing and treating a range of conditions and illnesses (AHPA 2023). Allied health professionals Codes 25.01–25.09 are considered sub-categories of Code 25. When using this element for disaggregation purposes, use Code 25 for the total of codes 25.01–25.09.</w:t>
            </w:r>
          </w:p>
          <w:p>
            <w:pPr>
              <w:spacing w:after="160"/>
            </w:pPr>
            <w:r>
              <w:rPr>
                <w:rStyle w:val="row-content-rich-text"/>
              </w:rPr>
              <w:t xml:space="preserve">CODE 25.01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25.02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25.03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25.04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25.05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25.06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25.07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25.08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25.09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26 Health promotion/Prevention worker</w:t>
            </w:r>
          </w:p>
          <w:p>
            <w:pPr>
              <w:spacing w:after="160"/>
            </w:pPr>
            <w:r>
              <w:rPr>
                <w:rStyle w:val="row-content-rich-text"/>
              </w:rPr>
              <w:t xml:space="preserve">A Health promotion/Prevention worker assists health and community groups to improve the health of individuals and the community by raising awareness of healthy lifestyles, disease and disability, and other health-related issues (ABS 2019). Health promotion/Prevention worker Codes 26.01–26.03 are considered sub-categories of Code 26. When using this element for disaggregation purposes, use Code 26 for the total of codes 26.01–26.03.</w:t>
            </w:r>
          </w:p>
          <w:p>
            <w:pPr>
              <w:spacing w:after="160"/>
            </w:pPr>
            <w:r>
              <w:rPr>
                <w:rStyle w:val="row-content-rich-text"/>
              </w:rPr>
              <w:t xml:space="preserve">CODE 26.01 Health promotion staff</w:t>
            </w:r>
          </w:p>
          <w:p>
            <w:pPr>
              <w:spacing w:after="160"/>
            </w:pPr>
            <w:r>
              <w:rPr>
                <w:rStyle w:val="row-content-rich-text"/>
              </w:rPr>
              <w:t xml:space="preserve">Health promotion staff assist health and community groups to improve the health of individuals and the community by raising awareness of healthy lifestyles, disease and disability, and other health-related issues (ABS 2019). </w:t>
            </w:r>
          </w:p>
          <w:p>
            <w:pPr>
              <w:spacing w:after="160"/>
            </w:pPr>
            <w:r>
              <w:rPr>
                <w:rStyle w:val="row-content-rich-text"/>
              </w:rPr>
              <w:t xml:space="preserve">CODE 26.02 Healthy lifestyle workers</w:t>
            </w:r>
          </w:p>
          <w:p>
            <w:pPr>
              <w:spacing w:after="160"/>
            </w:pPr>
            <w:r>
              <w:rPr>
                <w:rStyle w:val="row-content-rich-text"/>
              </w:rPr>
              <w:t xml:space="preserve">A Healthy lifestyle worker implements health and wellbeing preventive programs within the community.</w:t>
            </w:r>
          </w:p>
          <w:p>
            <w:pPr>
              <w:spacing w:after="160"/>
            </w:pPr>
            <w:r>
              <w:rPr>
                <w:rStyle w:val="row-content-rich-text"/>
              </w:rPr>
              <w:t xml:space="preserve">CODE 26.03 Health prevention/promotion (other or not specified)</w:t>
            </w:r>
          </w:p>
          <w:p>
            <w:pPr>
              <w:spacing w:after="160"/>
            </w:pPr>
            <w:r>
              <w:rPr>
                <w:rStyle w:val="row-content-rich-text"/>
              </w:rPr>
              <w:t xml:space="preserve">This code refers to other health prevention/promotion staff not further defined.</w:t>
            </w:r>
          </w:p>
          <w:p>
            <w:pPr>
              <w:spacing w:after="160"/>
            </w:pPr>
            <w:r>
              <w:rPr>
                <w:rStyle w:val="row-content-rich-text"/>
              </w:rPr>
              <w:t xml:space="preserve">CODE 27 Training/Trainee position</w:t>
            </w:r>
          </w:p>
          <w:p>
            <w:pPr>
              <w:spacing w:after="160"/>
            </w:pPr>
            <w:r>
              <w:rPr>
                <w:rStyle w:val="row-content-rich-text"/>
              </w:rPr>
              <w:t xml:space="preserve">A Training/Trainee position is a position where people undergo training and learn the skills for a particular job or profession. Training/Trainee position Codes 27.01–27.03 are considered sub-categories of Code 27. When using this element for disaggregation purposes, use Code 27 for the total of codes 27.01–27.03.</w:t>
            </w:r>
          </w:p>
          <w:p>
            <w:pPr>
              <w:spacing w:after="160"/>
            </w:pPr>
            <w:r>
              <w:rPr>
                <w:rStyle w:val="row-content-rich-text"/>
              </w:rPr>
              <w:t xml:space="preserve">CODE 27.01 ATSHIW</w:t>
            </w:r>
          </w:p>
          <w:p>
            <w:pPr>
              <w:spacing w:after="160"/>
            </w:pPr>
            <w:r>
              <w:rPr>
                <w:rStyle w:val="row-content-rich-text"/>
              </w:rPr>
              <w:t xml:space="preserve">A trainee Aboriginal and Torres Strait Islander Health Worker (ATSIHW) is learning the skills necessary to work as an ATSIHW. They liaise with patients, clients and visitors to hospitals and health clinics and work as a team member to arrange, coordinate and provide health care delivery in Aboriginal and Torres Strait Islander community health clinics.</w:t>
            </w:r>
          </w:p>
          <w:p>
            <w:pPr>
              <w:spacing w:after="160"/>
            </w:pPr>
            <w:r>
              <w:rPr>
                <w:rStyle w:val="row-content-rich-text"/>
              </w:rPr>
              <w:t xml:space="preserve">CODE 27.02 Registrar nurse</w:t>
            </w:r>
          </w:p>
          <w:p>
            <w:pPr>
              <w:spacing w:after="160"/>
            </w:pPr>
            <w:r>
              <w:rPr>
                <w:rStyle w:val="row-content-rich-text"/>
              </w:rPr>
              <w:t xml:space="preserve">A registrar nurse is training to become a nurse. They provide nursing care to patients in hospitals, aged care and other health care facilities, and in the community.</w:t>
            </w:r>
          </w:p>
          <w:p>
            <w:pPr>
              <w:spacing w:after="160"/>
            </w:pPr>
            <w:r>
              <w:rPr>
                <w:rStyle w:val="row-content-rich-text"/>
              </w:rPr>
              <w:t xml:space="preserve">CODE 27.03 Health training position (other or not specified)</w:t>
            </w:r>
          </w:p>
          <w:p>
            <w:pPr>
              <w:spacing w:after="160"/>
            </w:pPr>
            <w:r>
              <w:rPr>
                <w:rStyle w:val="row-content-rich-text"/>
              </w:rPr>
              <w:t xml:space="preserve">This code refers to other health training positions not further defined.</w:t>
            </w:r>
          </w:p>
          <w:p>
            <w:pPr>
              <w:spacing w:after="160"/>
            </w:pPr>
            <w:r>
              <w:rPr>
                <w:rStyle w:val="row-content-rich-text"/>
              </w:rPr>
              <w:t xml:space="preserve">CODE 88 Other</w:t>
            </w:r>
          </w:p>
          <w:p>
            <w:pPr/>
            <w:r>
              <w:rPr>
                <w:rStyle w:val="row-content-rich-text"/>
              </w:rPr>
              <w:t xml:space="preserve">This code refers to other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c92679f35e8b49de">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spacing w:after="160"/>
            </w:pPr>
            <w:r>
              <w:rPr>
                <w:rStyle w:val="row-content-rich-text"/>
              </w:rPr>
              <w:t xml:space="preserve">AHPA (Allied Health Professionals Australia) (2023) </w:t>
            </w:r>
            <w:hyperlink w:history="true" r:id="R9e4386d56ffa4125">
              <w:r>
                <w:rPr>
                  <w:rStyle w:val="Hyperlink"/>
                  <w:i/>
                </w:rPr>
                <w:t xml:space="preserve">Allied Health Professions Australia</w:t>
              </w:r>
            </w:hyperlink>
            <w:r>
              <w:rPr>
                <w:rStyle w:val="row-content-rich-text"/>
              </w:rPr>
              <w:t xml:space="preserve"> website, accessed 5 October 2023.</w:t>
            </w:r>
          </w:p>
          <w:p>
            <w:pPr/>
            <w:r>
              <w:rPr>
                <w:rStyle w:val="row-content-rich-text"/>
              </w:rPr>
              <w:t xml:space="preserve">NAATSIHWP (National Association of Aboriginal and Torres Strait Islander Health Workers and Practitioners) (2018) </w:t>
            </w:r>
            <w:hyperlink w:history="true" r:id="R856b17baac6a472e">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17205671644482">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a8d1114305b04b05">
              <w:r>
                <w:rPr>
                  <w:rStyle w:val="Hyperlink"/>
                  <w:color w:val="244061"/>
                </w:rPr>
                <w:t xml:space="preserve">Indigenous</w:t>
              </w:r>
            </w:hyperlink>
            <w:r>
              <w:rPr>
                <w:rStyle w:val="row-content"/>
                <w:color w:val="244061"/>
              </w:rPr>
              <w:t xml:space="preserve">, Superseded 07/04/2024</w:t>
            </w:r>
          </w:p>
          <w:p>
            <w:r>
              <w:br/>
            </w:r>
            <w:r>
              <w:rPr>
                <w:rStyle w:val="row-content"/>
              </w:rPr>
              <w:t xml:space="preserve">See also </w:t>
            </w:r>
            <w:hyperlink w:history="true" r:id="Rce749f2f33e146f7">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5e1dd83729f14259">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1ace4252cf4772">
              <w:r>
                <w:rPr>
                  <w:rStyle w:val="Hyperlink"/>
                </w:rPr>
                <w:t xml:space="preserve">Service provider organisation—staffing categories, Aboriginal and Torres Strait Islander primary health care code N[N]{.NN}</w:t>
              </w:r>
            </w:hyperlink>
          </w:p>
          <w:p>
            <w:pPr>
              <w:pStyle w:val="registration-status"/>
              <w:spacing w:before="0" w:after="0"/>
            </w:pPr>
            <w:hyperlink w:history="true" r:id="R478c37f74539457c">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5d3d2ce3dbf3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f5cfaf336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d2ce3dbf34ccb" /><Relationship Type="http://schemas.openxmlformats.org/officeDocument/2006/relationships/header" Target="/word/header1.xml" Id="Rb691d88d98574500" /><Relationship Type="http://schemas.openxmlformats.org/officeDocument/2006/relationships/settings" Target="/word/settings.xml" Id="R9a3c19b1c4924a12" /><Relationship Type="http://schemas.openxmlformats.org/officeDocument/2006/relationships/styles" Target="/word/styles.xml" Id="R9bf3a2c768134f7f" /><Relationship Type="http://schemas.openxmlformats.org/officeDocument/2006/relationships/hyperlink" Target="https://meteor.aihw.gov.au/RegistrationAuthority/6" TargetMode="External" Id="R4469799e782842a7" /><Relationship Type="http://schemas.openxmlformats.org/officeDocument/2006/relationships/hyperlink" Target="https://meteor.aihw.gov.au/content/780756" TargetMode="External" Id="R193debf3b35e44c9" /><Relationship Type="http://schemas.openxmlformats.org/officeDocument/2006/relationships/hyperlink" Target="https://meteor.aihw.gov.au/content/780756" TargetMode="External" Id="R1bfc298d9b884c3c" /><Relationship Type="http://schemas.openxmlformats.org/officeDocument/2006/relationships/hyperlink" Target="https://www.abs.gov.au/AUSSTATS/abs@.nsf/allprimarymainfeatures/FCC055588D3EBA19CA2584A8000E7889?opendocument" TargetMode="External" Id="Rc92679f35e8b49de" /><Relationship Type="http://schemas.openxmlformats.org/officeDocument/2006/relationships/hyperlink" Target="https://ahpa.com.au/" TargetMode="External" Id="R9e4386d56ffa4125" /><Relationship Type="http://schemas.openxmlformats.org/officeDocument/2006/relationships/hyperlink" Target="https://www.naatsihwp.org.au/what-atsi-health-workers-and-health-practitioners-do" TargetMode="External" Id="R856b17baac6a472e" /><Relationship Type="http://schemas.openxmlformats.org/officeDocument/2006/relationships/hyperlink" Target="https://meteor.aihw.gov.au/content/567330" TargetMode="External" Id="Rec17205671644482" /><Relationship Type="http://schemas.openxmlformats.org/officeDocument/2006/relationships/hyperlink" Target="https://meteor.aihw.gov.au/RegistrationAuthority/6" TargetMode="External" Id="Ra8d1114305b04b05" /><Relationship Type="http://schemas.openxmlformats.org/officeDocument/2006/relationships/hyperlink" Target="https://meteor.aihw.gov.au/content/573576" TargetMode="External" Id="Rce749f2f33e146f7" /><Relationship Type="http://schemas.openxmlformats.org/officeDocument/2006/relationships/hyperlink" Target="https://meteor.aihw.gov.au/RegistrationAuthority/6" TargetMode="External" Id="R5e1dd83729f14259" /><Relationship Type="http://schemas.openxmlformats.org/officeDocument/2006/relationships/hyperlink" Target="https://meteor.aihw.gov.au/content/755704" TargetMode="External" Id="R181ace4252cf4772" /><Relationship Type="http://schemas.openxmlformats.org/officeDocument/2006/relationships/hyperlink" Target="https://meteor.aihw.gov.au/RegistrationAuthority/6" TargetMode="External" Id="R478c37f74539457c" /></Relationships>
</file>

<file path=word/_rels/header1.xml.rels>&#65279;<?xml version="1.0" encoding="utf-8"?><Relationships xmlns="http://schemas.openxmlformats.org/package/2006/relationships"><Relationship Type="http://schemas.openxmlformats.org/officeDocument/2006/relationships/image" Target="/media/image.png" Id="Rb7cf5cfaf3364e76" /></Relationships>
</file>