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0cba3c37c54022"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8b-Proportion of patients aged 65 years or older or 45 years or older for Aboriginal and Torres Strait Islander people who experienced delirium in hospital and were readmitted for delirium within 10 days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8b-Proportion of patients aged 65 years or older or 45 years or older for Aboriginal and Torres Strait Islander people who experienced delirium in hospital and were readmitted for delirium within 10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8b-Proportion of patients aged 65 years or older or 45 years or older for Aboriginal and Torres Strait Islander people who experienced delirium in hospital and were readmitted for delirium within 10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2f4e3da5449ac">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aged 65 years or older or 45 years or older for Aboriginal and Torres Strait Islander people who experienced delirium in hospital and were readmitted for delirium within 10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f20cbcd3704355">
              <w:r>
                <w:rPr>
                  <w:rStyle w:val="Hyperlink"/>
                </w:rPr>
                <w:t xml:space="preserve">Clinical care standard indicators: delirium 2021</w:t>
              </w:r>
            </w:hyperlink>
          </w:p>
          <w:p>
            <w:pPr>
              <w:spacing w:before="0" w:after="0"/>
            </w:pPr>
            <w:r>
              <w:rPr>
                <w:rStyle w:val="row-content"/>
                <w:color w:val="244061"/>
              </w:rPr>
              <w:t xml:space="preserve">       </w:t>
            </w:r>
            <w:hyperlink w:history="true" r:id="R5ef2f6ab2d454ab6">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or older, or 45 years or older for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identify patients with delirium using the ICD codes specified in the </w:t>
            </w:r>
            <w:hyperlink w:history="true" r:id="Rc3e3c580a4e44dcf">
              <w:r>
                <w:rPr>
                  <w:rStyle w:val="Hyperlink"/>
                </w:rPr>
                <w:t xml:space="preserve">Hospital-Acquired Complications (HACs) List - Specifications</w:t>
              </w:r>
            </w:hyperlink>
            <w:r>
              <w:rPr>
                <w:rStyle w:val="row-content-rich-text"/>
              </w:rPr>
              <w:t xml:space="preserve">, worksheet 1, where complication group = </w:t>
            </w:r>
            <w:r>
              <w:rPr>
                <w:rStyle w:val="row-content-rich-text"/>
                <w:i/>
              </w:rPr>
              <w:t xml:space="preserve">11. Delirium</w:t>
            </w:r>
            <w:r>
              <w:rPr>
                <w:rStyle w:val="row-content-rich-text"/>
              </w:rPr>
              <w:t xml:space="preserve">. Exclude separations where </w:t>
            </w:r>
            <w:hyperlink w:history="true" r:id="Rfde08348864f4e68">
              <w:r>
                <w:rPr>
                  <w:rStyle w:val="Hyperlink"/>
                </w:rPr>
                <w:t xml:space="preserve">Episode of admitted patient care—separation mode, code NN</w:t>
              </w:r>
            </w:hyperlink>
            <w:r>
              <w:rPr>
                <w:rStyle w:val="row-content-rich-text"/>
              </w:rPr>
              <w:t xml:space="preserve"> corresponds to </w:t>
            </w:r>
            <w:r>
              <w:rPr>
                <w:rStyle w:val="row-content-rich-text"/>
                <w:i/>
              </w:rPr>
              <w:t xml:space="preserve">Died. </w:t>
            </w:r>
            <w:r>
              <w:rPr>
                <w:rStyle w:val="row-content-rich-text"/>
              </w:rPr>
              <w:t xml:space="preserve">Where possible, exclude patients who died within 10 days of discharge following the initial episode of care.</w:t>
            </w:r>
          </w:p>
          <w:p>
            <w:pPr>
              <w:spacing w:after="160"/>
            </w:pPr>
            <w:r>
              <w:rPr>
                <w:rStyle w:val="row-content-rich-text"/>
              </w:rPr>
              <w:t xml:space="preserve">For the numerator include patients with current or resolved delirium who are readmitted to hospital for delirium within 10 days following discharge from the initial episode of care during which the delirium was diagnosed.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aged 65 years or older or 45 years or older for Aboriginal and Torres Strait Islander people who experienced delirium in hospital and were readmitted for delirium within 10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aged 65 years or older or 45 years or older for Aboriginal and Torres Strait Islander people who experienced delirium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possible, this indicator should include readmissions to any hospital. This relies on linked data and/or the use of a unique identifier, preferably across a geographic region where patients are likely to be readmitted (for example, a </w:t>
            </w:r>
            <w:hyperlink w:tooltip="One of a number of separate legal entities established by&amp;nbsp;each Australian state/territory government&amp;nbsp;in order to devolve operational management for public hospitals, and accountability for local service delivery, to the local level.&#10;Local Ho..." w:history="true" r:id="R1be37c25c7a04dd2">
              <w:r>
                <w:rPr>
                  <w:rStyle w:val="Hyperlink"/>
                  <w:b/>
                </w:rPr>
                <w:t xml:space="preserve">Local Hospital Network</w:t>
              </w:r>
            </w:hyperlink>
            <w:r>
              <w:rPr>
                <w:rStyle w:val="row-content-rich-text"/>
              </w:rPr>
              <w:t xml:space="preserve">).</w:t>
            </w:r>
          </w:p>
          <w:p>
            <w:pPr>
              <w:spacing w:after="160"/>
            </w:pPr>
            <w:r>
              <w:rPr>
                <w:rStyle w:val="row-content-rich-text"/>
              </w:rPr>
              <w:t xml:space="preserve">Excluding patients who died within 10 days of discharge may require linked death data.</w:t>
            </w:r>
          </w:p>
          <w:p>
            <w:pPr/>
            <w:r>
              <w:rPr>
                <w:rStyle w:val="row-content-rich-text"/>
              </w:rPr>
              <w:t xml:space="preserve">This indicator is based on the Ontario Senior Friendly Hospital Strategy Delirium and Functional Decline Indicators (Wong et al,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Delirium Clinical Care Standard. Sydney: ACSQHC; 2021.</w:t>
            </w:r>
          </w:p>
          <w:p>
            <w:pPr>
              <w:spacing w:after="160"/>
            </w:pPr>
            <w:r>
              <w:rPr>
                <w:rStyle w:val="row-content-rich-text"/>
              </w:rPr>
              <w:t xml:space="preserve">Wong K, Tsang A, Liu B &amp; Schwartz R. The Ontario Senior Friendly Hospital Strategy Delirium and Functional Decline Indicators. Toronto: Ontario Local Health Integration Network; 2012.</w:t>
            </w:r>
          </w:p>
          <w:p>
            <w:pPr/>
            <w:r>
              <w:rPr>
                <w:rStyle w:val="row-content-rich-text"/>
              </w:rPr>
              <w:t xml:space="preserve"> </w:t>
            </w:r>
          </w:p>
        </w:tc>
      </w:tr>
    </w:tbl>
    <w:p>
      <w:r>
        <w:br/>
      </w:r>
    </w:p>
    <w:sectPr>
      <w:footerReference xmlns:r="http://schemas.openxmlformats.org/officeDocument/2006/relationships" w:type="default" r:id="Rdb3b2c3f1a87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745831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a00473e1740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3b2c3f1a874898" /><Relationship Type="http://schemas.openxmlformats.org/officeDocument/2006/relationships/header" Target="/word/header1.xml" Id="R414514d82ecf45ec" /><Relationship Type="http://schemas.openxmlformats.org/officeDocument/2006/relationships/settings" Target="/word/settings.xml" Id="R47a5bd558a9d4b1c" /><Relationship Type="http://schemas.openxmlformats.org/officeDocument/2006/relationships/styles" Target="/word/styles.xml" Id="R05497c4addc04c76" /><Relationship Type="http://schemas.openxmlformats.org/officeDocument/2006/relationships/hyperlink" Target="https://meteor.aihw.gov.au/RegistrationAuthority/18" TargetMode="External" Id="R8d42f4e3da5449ac" /><Relationship Type="http://schemas.openxmlformats.org/officeDocument/2006/relationships/hyperlink" Target="https://meteor.aihw.gov.au/content/745804" TargetMode="External" Id="R8cf20cbcd3704355" /><Relationship Type="http://schemas.openxmlformats.org/officeDocument/2006/relationships/hyperlink" Target="https://meteor.aihw.gov.au/RegistrationAuthority/18" TargetMode="External" Id="R5ef2f6ab2d454ab6" /><Relationship Type="http://schemas.openxmlformats.org/officeDocument/2006/relationships/hyperlink" Target="https://www.safetyandquality.gov.au/publications-and-resources/resource-library/hospital-acquired-complications-hacs-list-specifications-version-31" TargetMode="External" Id="Rc3e3c580a4e44dcf" /><Relationship Type="http://schemas.openxmlformats.org/officeDocument/2006/relationships/hyperlink" Target="https://meteor.aihw.gov.au/content/722644" TargetMode="External" Id="Rfde08348864f4e68" /><Relationship Type="http://schemas.openxmlformats.org/officeDocument/2006/relationships/hyperlink" Target="https://meteor.aihw.gov.au/content/491016" TargetMode="External" Id="R1be37c25c7a04dd2" /></Relationships>
</file>

<file path=word/_rels/header1.xml.rels>&#65279;<?xml version="1.0" encoding="utf-8"?><Relationships xmlns="http://schemas.openxmlformats.org/package/2006/relationships"><Relationship Type="http://schemas.openxmlformats.org/officeDocument/2006/relationships/image" Target="/media/image.png" Id="R6b5a00473e174089" /></Relationships>
</file>