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c8eb9e718d431b" /></Relationships>
</file>

<file path=word/document.xml><?xml version="1.0" encoding="utf-8"?>
<w:document xmlns:r="http://schemas.openxmlformats.org/officeDocument/2006/relationships" xmlns:w="http://schemas.openxmlformats.org/wordprocessingml/2006/main">
  <w:body>
    <w:p>
      <w:pPr>
        <w:pStyle w:val="Title"/>
      </w:pPr>
      <w:r>
        <w:t>Acute Anaphylaxis Clinical Care Standard: 06a-Evidence of local arrangements that ensure patients treated for anaphylaxis receive tailored discharge planning prior to separation from hospital.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Anaphylaxis Clinical Care Standard: 06a-Evidence of local arrangements that ensure patients treated for anaphylaxis receive tailored discharge planning prior to separation from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6a-Evidence of local arrangements that ensure patients treated for anaphylaxis receive tailored discharge planning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8073556154c81">
              <w:r>
                <w:rPr>
                  <w:rStyle w:val="Hyperlink"/>
                  <w:color w:val="244061"/>
                </w:rPr>
                <w:t xml:space="preserve">Australian Commission on Safety and Quality in Health Care</w:t>
              </w:r>
            </w:hyperlink>
            <w:r>
              <w:rPr>
                <w:rStyle w:val="row-content"/>
                <w:color w:val="244061"/>
              </w:rPr>
              <w:t xml:space="preserve">, Standard 24/11/2021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that ensure patients treated for anaphylaxis receive tailored discharge planning prior to separation from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d5798357cb4779">
              <w:r>
                <w:rPr>
                  <w:rStyle w:val="Hyperlink"/>
                </w:rPr>
                <w:t xml:space="preserve">Clinical care standard indicators: Acute Anaphylaxis  </w:t>
              </w:r>
            </w:hyperlink>
          </w:p>
          <w:p>
            <w:pPr>
              <w:pStyle w:val="registration-status"/>
              <w:spacing w:before="0" w:after="0"/>
            </w:pPr>
            <w:hyperlink w:history="true" r:id="Rd8749e2ac8e0436e">
              <w:r>
                <w:rPr>
                  <w:rStyle w:val="Hyperlink"/>
                  <w:color w:val="244061"/>
                </w:rPr>
                <w:t xml:space="preserve">Australian Commission on Safety and Quality in Health Care</w:t>
              </w:r>
            </w:hyperlink>
            <w:r>
              <w:rPr>
                <w:rStyle w:val="row-content"/>
                <w:color w:val="244061"/>
              </w:rPr>
              <w:t xml:space="preserve">, Standard 24/11/2021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that ensure patients treated for anaphylaxis receive tailored discharge planning prior to separation from hospital. </w:t>
            </w:r>
          </w:p>
          <w:p>
            <w:pPr>
              <w:spacing w:after="160"/>
            </w:pPr>
            <w:r>
              <w:rPr>
                <w:rStyle w:val="row-content-rich-text"/>
              </w:rPr>
              <w:t xml:space="preserve">The local arrangements should specify the:</w:t>
            </w:r>
          </w:p>
          <w:p>
            <w:pPr>
              <w:pStyle w:val="ListParagraph"/>
              <w:numPr>
                <w:ilvl w:val="0"/>
                <w:numId w:val="2"/>
              </w:numPr>
            </w:pPr>
            <w:r>
              <w:rPr>
                <w:rStyle w:val="row-content-rich-text"/>
              </w:rPr>
              <w:t xml:space="preserve">Patient education resources, referrals and discharge documents to be provided to patients</w:t>
            </w:r>
          </w:p>
          <w:p>
            <w:pPr>
              <w:pStyle w:val="ListParagraph"/>
              <w:numPr>
                <w:ilvl w:val="0"/>
                <w:numId w:val="2"/>
              </w:numPr>
            </w:pPr>
            <w:r>
              <w:rPr>
                <w:rStyle w:val="row-content-rich-text"/>
              </w:rPr>
              <w:t xml:space="preserve">Process to provide patients with personal adrenaline injectors, if indicated</w:t>
            </w:r>
          </w:p>
          <w:p>
            <w:pPr>
              <w:pStyle w:val="ListParagraph"/>
              <w:numPr>
                <w:ilvl w:val="0"/>
                <w:numId w:val="2"/>
              </w:numPr>
            </w:pPr>
            <w:r>
              <w:rPr>
                <w:rStyle w:val="row-content-rich-text"/>
              </w:rPr>
              <w:t xml:space="preserve">Information that must be documented in the patient’s medical record after treatment for anaphylaxis, and</w:t>
            </w:r>
          </w:p>
          <w:p>
            <w:pPr>
              <w:pStyle w:val="ListParagraph"/>
              <w:numPr>
                <w:ilvl w:val="0"/>
                <w:numId w:val="2"/>
              </w:numPr>
            </w:pPr>
            <w:r>
              <w:rPr>
                <w:rStyle w:val="row-content-rich-text"/>
              </w:rPr>
              <w:t xml:space="preserve">Organisation’s process to assess adherence to the local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Acute Anaphylaxis clinical care standard. Australian Commission on Safety and Quality in Health Care, Sydney.</w:t>
            </w:r>
          </w:p>
        </w:tc>
      </w:tr>
    </w:tbl>
    <w:p>
      <w:r>
        <w:br/>
      </w:r>
    </w:p>
    <w:sectPr>
      <w:footerReference xmlns:r="http://schemas.openxmlformats.org/officeDocument/2006/relationships" w:type="default" r:id="Rb29dd90faa0a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745153</w:t>
    </w:r>
    <w:r>
      <w:ptab w:alignment="right" w:relativeTo="margin" w:leader="none"/>
    </w:r>
    <w:r>
      <w:t xml:space="preserve">Page </w:t>
    </w:r>
    <w:fldSimple w:instr="PAGE"/>
    <w:r>
      <w:t xml:space="preserve"> of </w:t>
    </w:r>
    <w:fldSimple w:instr="NUMPAGES"/>
    <w:r>
      <w:ptab w:alignment="left" w:relativeTo="margin" w:leader="none"/>
    </w:r>
    <w:r>
      <w:t>Downloaded 15-Jun-2024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fd710fda8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dd90faa0a4eb1" /><Relationship Type="http://schemas.openxmlformats.org/officeDocument/2006/relationships/header" Target="/word/header1.xml" Id="R9e874c9297bf47ee" /><Relationship Type="http://schemas.openxmlformats.org/officeDocument/2006/relationships/settings" Target="/word/settings.xml" Id="Ra86b82eb31ed46e8" /><Relationship Type="http://schemas.openxmlformats.org/officeDocument/2006/relationships/styles" Target="/word/styles.xml" Id="R65856d8b9eb849cd" /><Relationship Type="http://schemas.openxmlformats.org/officeDocument/2006/relationships/numbering" Target="/word/numbering.xml" Id="R6111086786974c5f" /><Relationship Type="http://schemas.openxmlformats.org/officeDocument/2006/relationships/hyperlink" Target="https://meteor.aihw.gov.au/RegistrationAuthority/18" TargetMode="External" Id="R46e8073556154c81" /><Relationship Type="http://schemas.openxmlformats.org/officeDocument/2006/relationships/hyperlink" Target="https://meteor.aihw.gov.au/content/745144" TargetMode="External" Id="R0fd5798357cb4779" /><Relationship Type="http://schemas.openxmlformats.org/officeDocument/2006/relationships/hyperlink" Target="https://meteor.aihw.gov.au/RegistrationAuthority/18" TargetMode="External" Id="Rd8749e2ac8e0436e" /></Relationships>
</file>

<file path=word/_rels/header1.xml.rels>&#65279;<?xml version="1.0" encoding="utf-8"?><Relationships xmlns="http://schemas.openxmlformats.org/package/2006/relationships"><Relationship Type="http://schemas.openxmlformats.org/officeDocument/2006/relationships/image" Target="/media/image.png" Id="R3fdfd710fda844c2" /></Relationships>
</file>