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b700626f384c2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 – Change in mental health consumer's clinical outcomes,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 – Change in mental health consumer's clinical outcomes,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 Change in mental health consumer's clinical outcomes,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e1a2a4c9145f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mental health care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indicator is related to </w:t>
            </w:r>
            <w:r>
              <w:rPr>
                <w:rStyle w:val="row-content-rich-text"/>
                <w:i/>
              </w:rPr>
              <w:t xml:space="preserve">Change in mental health consumer's clinical outcomes (Jurisdictional level)</w:t>
            </w:r>
            <w:r>
              <w:rPr>
                <w:rStyle w:val="row-content-rich-text"/>
              </w:rPr>
              <w:t xml:space="preserve">. 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services and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661f6fab4f4994">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5993a38baf8a4df7">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The following episodes of care are excluded:</w:t>
            </w:r>
          </w:p>
          <w:p>
            <w:pPr>
              <w:pStyle w:val="ListParagraph"/>
              <w:numPr>
                <w:ilvl w:val="0"/>
                <w:numId w:val="3"/>
              </w:numPr>
            </w:pPr>
            <w:hyperlink w:history="true" r:id="R9e33964b1ebd442c">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375754552e9746b3">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(where the National Outcomes and Casemix Collection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Only the Health of the Nation Outcome Scales (HoNOS) family of measures (including HoNOS, HoNOS65+ and Health of the Nation Outcome Scales Child and Adolescent (HoNOSCA)) are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Group A: Consumers separated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Group B: Consumers discharged from ambulatory care. All people who were discharged from an ambulatory care episode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must be excluded from the analysis that is, where the NOCC ‘reason for collection’ equals change of setting.</w:t>
            </w:r>
            <w:r>
              <w:br/>
            </w:r>
            <w:r>
              <w:rPr>
                <w:rStyle w:val="row-content-rich-text"/>
              </w:rPr>
              <w:t xml:space="preserve">*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r>
              <w:br/>
            </w:r>
            <w:r>
              <w:rPr>
                <w:rStyle w:val="row-content-rich-text"/>
              </w:rPr>
              <w:t xml:space="preserve">* Group D: Consumers discharged from residential mental health care. All people who were discharged from a residential mental health service unit within the reference period, excluding statistical separations. Scores should be calculated as the difference between the total score recorded at admission (the ‘baseline’) and discharge (the ‘follow-up’).</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HoNOS/HoNOS65+ scales or the first 13 items of the 15 HoNOSCA. Where one or more of the HoNOS, HoNOS65+ or HoNOSCA items have not been completed correctly, the collection occasion should only be regarded as valid and complete if:</w:t>
            </w:r>
            <w:r>
              <w:br/>
            </w:r>
            <w:r>
              <w:rPr>
                <w:rStyle w:val="row-content-rich-text"/>
              </w:rPr>
              <w:t xml:space="preserve">* For the HoNOS/HoNOS65+, a minimum of 10 of the 12 items have a valid severity rating (i.e. a rating of either 0, 1, 2, 3 or 4);</w:t>
            </w:r>
            <w:r>
              <w:br/>
            </w:r>
            <w:r>
              <w:rPr>
                <w:rStyle w:val="row-content-rich-text"/>
              </w:rPr>
              <w:t xml:space="preserve">* For the HoNOSCA, a minimum of 11 of the first 13 items have a valid severity rating;</w:t>
            </w:r>
            <w:r>
              <w:br/>
            </w:r>
            <w:r>
              <w:rPr>
                <w:rStyle w:val="row-content-rich-text"/>
              </w:rPr>
              <w:t xml:space="preserve">* There are no corrections made for missing items.</w:t>
            </w:r>
          </w:p>
          <w:p>
            <w:pPr>
              <w:pStyle w:val="ListParagraph"/>
              <w:numPr>
                <w:ilvl w:val="0"/>
                <w:numId w:val="4"/>
              </w:numPr>
            </w:pPr>
            <w:r>
              <w:rPr>
                <w:rStyle w:val="row-content-rich-text"/>
              </w:rPr>
              <w:t xml:space="preserve">Scores are classified as outcomes measures, i.e.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spacing w:after="160"/>
            </w:pPr>
            <w:r>
              <w:rPr>
                <w:rStyle w:val="row-content-rich-text"/>
              </w:rPr>
              <w:t xml:space="preserve"> </w:t>
            </w:r>
          </w:p>
          <w:p>
            <w:pPr>
              <w:pStyle w:val="ListParagraph"/>
              <w:numPr>
                <w:ilvl w:val="0"/>
                <w:numId w:val="6"/>
              </w:numPr>
            </w:pPr>
            <w:r>
              <w:rPr>
                <w:rStyle w:val="row-content-rich-text"/>
              </w:rPr>
              <w:t xml:space="preserve">For the purposes of this key performance indicator, a medium effect size of 0.5 is used to assign outcome scores to the three outcome categories. A medium effect size is equivalent to an individual change score of at least one half (0.5) of a standard deviation.</w:t>
            </w:r>
          </w:p>
          <w:p>
            <w:pPr>
              <w:pStyle w:val="ListParagraph"/>
              <w:numPr>
                <w:ilvl w:val="0"/>
                <w:numId w:val="6"/>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negative 0.5 and less than positive 0.5.</w:t>
            </w:r>
          </w:p>
          <w:p>
            <w:pPr>
              <w:pStyle w:val="ListParagraph"/>
              <w:numPr>
                <w:ilvl w:val="0"/>
                <w:numId w:val="6"/>
              </w:numPr>
            </w:pPr>
            <w:r>
              <w:rPr>
                <w:rStyle w:val="row-content-rich-text"/>
              </w:rPr>
              <w:t xml:space="preserve">Analyses of the 2010–11 national pool of NOCC data identified that for:</w:t>
            </w:r>
            <w:r>
              <w:br/>
            </w:r>
            <w:r>
              <w:rPr>
                <w:rStyle w:val="row-content-rich-text"/>
              </w:rPr>
              <w:t xml:space="preserve">* Inpatient and ambulatory settings- a four point threshold indicates a medium effect size. In practice this means an individual change score of at least four points equates to a medium effect size and significant change. This threshold is the same for all three HoNOS measures.</w:t>
            </w:r>
            <w:r>
              <w:br/>
            </w:r>
            <w:r>
              <w:rPr>
                <w:rStyle w:val="row-content-rich-text"/>
              </w:rPr>
              <w:t xml:space="preserve">* Residential settings- a five point threshold indicates a medium effect size. In practice this means an individual change score of a least five points equates to a medium effect size and significant change. There was only sufficient data to construct the HoNOS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mental health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(adult only)</w:t>
            </w:r>
          </w:p>
          <w:p>
            <w:pPr/>
            <w:r>
              <w:rPr>
                <w:rStyle w:val="row-content-rich-text"/>
              </w:rPr>
              <w:t xml:space="preserve">Consumer attributes: diagnosis,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dc3ebf120c434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7"/>
              </w:numPr>
            </w:pPr>
            <w:r>
              <w:rPr>
                <w:rStyle w:val="row-content-rich-text"/>
              </w:rPr>
              <w:t xml:space="preserve">service unit</w:t>
            </w:r>
          </w:p>
          <w:p>
            <w:pPr>
              <w:pStyle w:val="ListParagraph"/>
              <w:numPr>
                <w:ilvl w:val="0"/>
                <w:numId w:val="7"/>
              </w:numPr>
            </w:pPr>
            <w:r>
              <w:rPr>
                <w:rStyle w:val="row-content-rich-text"/>
              </w:rPr>
              <w:t xml:space="preserve">mental health service organisation</w:t>
            </w:r>
          </w:p>
          <w:p>
            <w:pPr>
              <w:pStyle w:val="ListParagraph"/>
              <w:numPr>
                <w:ilvl w:val="0"/>
                <w:numId w:val="7"/>
              </w:numPr>
            </w:pPr>
            <w:r>
              <w:rPr>
                <w:rStyle w:val="row-content-rich-text"/>
              </w:rPr>
              <w:t xml:space="preserve">regional group of services</w:t>
            </w:r>
          </w:p>
          <w:p>
            <w:pPr>
              <w:pStyle w:val="ListParagraph"/>
              <w:numPr>
                <w:ilvl w:val="0"/>
                <w:numId w:val="7"/>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Australian Government Department of Health compiles all state and territory consumer outcomes data on an annual data submission basis. However, the NOCC does not allow linkage of episodes of care across financial years.</w:t>
            </w:r>
          </w:p>
          <w:p>
            <w:pPr>
              <w:spacing w:after="160"/>
            </w:pPr>
            <w:r>
              <w:rPr>
                <w:rStyle w:val="row-content-rich-text"/>
              </w:rPr>
              <w:t xml:space="preserve">This limitation does not exist for states and territories own data sets.</w:t>
            </w:r>
          </w:p>
          <w:p>
            <w:pPr>
              <w:spacing w:after="160"/>
            </w:pPr>
            <w:r>
              <w:rPr>
                <w:rStyle w:val="row-content-rich-text"/>
              </w:rPr>
              <w:t xml:space="preserve">A proxy solution using a subset of episodes, which have commenced within the same financial year, are used for producing this indicator from the NOCC. Compared to data constructed from state and territory data 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p>
            <w:pPr/>
            <w:r>
              <w:rPr>
                <w:rStyle w:val="row-content-rich-text"/>
              </w:rPr>
              <w:t xml:space="preserve">Longer term, a process is needed that allows data reported by states and territories to the NOCC for consumers who begin an episode in a given year to be tracked when the episode continues into subsequent years. Work is underway to build an episode identifier into the NOCC. Additionally, consistent, cross-year use of service identifiers and unique identifiers for consumers is necessary to enable full capacity to construct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8"/>
              </w:numPr>
            </w:pPr>
            <w:r>
              <w:rPr>
                <w:rStyle w:val="row-content-rich-text"/>
              </w:rPr>
              <w:t xml:space="preserve">This indicator measures one type of outcome for mental health consumers. Where possible, NOCC-based measures should be complemented by other measures of consumer outcomes (e.g. social outcomes such as employment or social participation) that capture different perspectives on consumer outcomes.</w:t>
            </w:r>
          </w:p>
          <w:p>
            <w:pPr>
              <w:pStyle w:val="ListParagraph"/>
              <w:numPr>
                <w:ilvl w:val="0"/>
                <w:numId w:val="8"/>
              </w:numPr>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p>
            <w:pPr>
              <w:pStyle w:val="ListParagraph"/>
              <w:numPr>
                <w:ilvl w:val="0"/>
                <w:numId w:val="8"/>
              </w:numPr>
            </w:pPr>
            <w:r>
              <w:rPr>
                <w:rStyle w:val="row-content-rich-text"/>
              </w:rPr>
              <w:t xml:space="preserve">This indicator was designed as a measure of aggregate group change.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da878d7e5b4116">
              <w:r>
                <w:rPr>
                  <w:rStyle w:val="Hyperlink"/>
                </w:rPr>
                <w:t xml:space="preserve">KPIs for Australian Public Mental Health Services: PI 01 – Change in mental health consumer's clinical outcomes, 2020 (Service level)</w:t>
              </w:r>
            </w:hyperlink>
          </w:p>
          <w:p>
            <w:pPr>
              <w:spacing w:before="0" w:after="0"/>
            </w:pPr>
            <w:r>
              <w:rPr>
                <w:rStyle w:val="row-content"/>
                <w:color w:val="244061"/>
              </w:rPr>
              <w:t xml:space="preserve">       </w:t>
            </w:r>
            <w:hyperlink w:history="true" r:id="R1471d86477b24b5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2f4cc326f30542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445de4ab5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cc326f30542dd" /><Relationship Type="http://schemas.openxmlformats.org/officeDocument/2006/relationships/header" Target="/word/header1.xml" Id="Rd117ef4974f24181" /><Relationship Type="http://schemas.openxmlformats.org/officeDocument/2006/relationships/settings" Target="/word/settings.xml" Id="R9f43715b1a6f4379" /><Relationship Type="http://schemas.openxmlformats.org/officeDocument/2006/relationships/styles" Target="/word/styles.xml" Id="Rd0362101d5a94239" /><Relationship Type="http://schemas.openxmlformats.org/officeDocument/2006/relationships/hyperlink" Target="https://meteor.aihw.gov.au/RegistrationAuthority/12" TargetMode="External" Id="Re05e1a2a4c9145f0" /><Relationship Type="http://schemas.openxmlformats.org/officeDocument/2006/relationships/numbering" Target="/word/numbering.xml" Id="R8d1ce8203201462b" /><Relationship Type="http://schemas.openxmlformats.org/officeDocument/2006/relationships/hyperlink" Target="https://meteor.aihw.gov.au/content/742456" TargetMode="External" Id="R46661f6fab4f4994" /><Relationship Type="http://schemas.openxmlformats.org/officeDocument/2006/relationships/hyperlink" Target="https://meteor.aihw.gov.au/RegistrationAuthority/12" TargetMode="External" Id="R5993a38baf8a4df7" /><Relationship Type="http://schemas.openxmlformats.org/officeDocument/2006/relationships/hyperlink" Target="https://meteor.aihw.gov.au/content/605545" TargetMode="External" Id="R9e33964b1ebd442c" /><Relationship Type="http://schemas.openxmlformats.org/officeDocument/2006/relationships/hyperlink" Target="https://meteor.aihw.gov.au/content/605550" TargetMode="External" Id="R375754552e9746b3" /><Relationship Type="http://schemas.openxmlformats.org/officeDocument/2006/relationships/hyperlink" Target="https://meteor.aihw.gov.au/content/721196" TargetMode="External" Id="R26dc3ebf120c434c" /><Relationship Type="http://schemas.openxmlformats.org/officeDocument/2006/relationships/hyperlink" Target="https://meteor.aihw.gov.au/content/725513" TargetMode="External" Id="Rc8da878d7e5b4116" /><Relationship Type="http://schemas.openxmlformats.org/officeDocument/2006/relationships/hyperlink" Target="https://meteor.aihw.gov.au/RegistrationAuthority/12" TargetMode="External" Id="R1471d86477b24b52" /></Relationships>
</file>

<file path=word/_rels/header1.xml.rels>&#65279;<?xml version="1.0" encoding="utf-8"?><Relationships xmlns="http://schemas.openxmlformats.org/package/2006/relationships"><Relationship Type="http://schemas.openxmlformats.org/officeDocument/2006/relationships/image" Target="/media/image.png" Id="Rdcf445de4ab54834" /></Relationships>
</file>