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814d18c9b4160" /></Relationships>
</file>

<file path=word/document.xml><?xml version="1.0" encoding="utf-8"?>
<w:document xmlns:r="http://schemas.openxmlformats.org/officeDocument/2006/relationships" xmlns:w="http://schemas.openxmlformats.org/wordprocessingml/2006/main">
  <w:body>
    <w:p>
      <w:pPr>
        <w:pStyle w:val="Title"/>
      </w:pPr>
      <w:r>
        <w:t>Antimicrobial stewardship: 8d-The proportion of patients who were prescribed prolonged antimicrobials following a surgery or procedure that is discordant with the current Therapeutic Guidelines or evidence-based, locally endorsed guidelines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8d-The proportion of patients who were prescribed prolonged antimicrobials following a surgery or procedure that is discordant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8d-The proportion of patients who were prescribed prolonged antimicrobials following a surgery or procedure that is discordant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0c69f7be9c414f">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who were prescribed prolonged antimicrobials following a surgery or procedure that is discordant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a2fa14fde641f9">
              <w:r>
                <w:rPr>
                  <w:rStyle w:val="Hyperlink"/>
                </w:rPr>
                <w:t xml:space="preserve">Clinical care standard indicators: antimicrobial stewardship 2020</w:t>
              </w:r>
            </w:hyperlink>
          </w:p>
          <w:p>
            <w:pPr>
              <w:pStyle w:val="registration-status"/>
              <w:spacing w:before="0" w:after="0"/>
            </w:pPr>
            <w:hyperlink w:history="true" r:id="Rbb4b11e16b124be5">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exclude patients undergoing surgery or a procedure for which there are no documented guidelines for the administration of prophylactic antimicrobials or where prophylaxis is not indicated due to the patient’s current antimicrobial therapy. The numerator and denominator also exclude patients who have not received antimicrobials perioperatively.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 prophylactic antimicrobial prior to surgery or a procedure whose antimicrobial is continued following surgery against recommendations in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for which there are documented guidelines on the use of prophylactic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 in surgical prophylaxis.</w:t>
            </w:r>
          </w:p>
          <w:p>
            <w:pPr/>
            <w:r>
              <w:rPr>
                <w:rStyle w:val="row-content-rich-text"/>
              </w:rPr>
              <w:t xml:space="preserve">Services may select specific procedures to focus on as part of the audit process, based on their mix of patients and priorities.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7a90e377535e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736900</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fd906b819347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90e377535e40ec" /><Relationship Type="http://schemas.openxmlformats.org/officeDocument/2006/relationships/header" Target="/word/header1.xml" Id="Re26d62ec80f6467b" /><Relationship Type="http://schemas.openxmlformats.org/officeDocument/2006/relationships/settings" Target="/word/settings.xml" Id="R8e16c822340b4523" /><Relationship Type="http://schemas.openxmlformats.org/officeDocument/2006/relationships/styles" Target="/word/styles.xml" Id="Rc247d137fd1a4353" /><Relationship Type="http://schemas.openxmlformats.org/officeDocument/2006/relationships/hyperlink" Target="https://meteor.aihw.gov.au/RegistrationAuthority/18" TargetMode="External" Id="R320c69f7be9c414f" /><Relationship Type="http://schemas.openxmlformats.org/officeDocument/2006/relationships/hyperlink" Target="https://meteor.aihw.gov.au/content/736878" TargetMode="External" Id="R1fa2fa14fde641f9" /><Relationship Type="http://schemas.openxmlformats.org/officeDocument/2006/relationships/hyperlink" Target="https://meteor.aihw.gov.au/RegistrationAuthority/18" TargetMode="External" Id="Rbb4b11e16b124be5" /></Relationships>
</file>

<file path=word/_rels/header1.xml.rels>&#65279;<?xml version="1.0" encoding="utf-8"?><Relationships xmlns="http://schemas.openxmlformats.org/package/2006/relationships"><Relationship Type="http://schemas.openxmlformats.org/officeDocument/2006/relationships/image" Target="/media/image.png" Id="R0ffd906b819347d3" /></Relationships>
</file>