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b8a562d9846d0" /></Relationships>
</file>

<file path=word/document.xml><?xml version="1.0" encoding="utf-8"?>
<w:document xmlns:r="http://schemas.openxmlformats.org/officeDocument/2006/relationships" xmlns:w="http://schemas.openxmlformats.org/wordprocessingml/2006/main">
  <w:body>
    <w:p>
      <w:pPr>
        <w:pStyle w:val="Title"/>
      </w:pPr>
      <w:r>
        <w:t>Antimicrobial stewardship: 8c-The proportion of patients who are administered prophylactic antimicrobials within the recommended time perioperatively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8c-The proportion of patients who are administered prophylactic antimicrobials within the recommended time perioperatively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8c-The proportion of patients who are administered prophylactic antimicrobials within the recommended time perioperatively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759cdf16d4e4f">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are administered prophylactic antimicrobials within the recommended time perioperatively.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dc16d4740c44c2">
              <w:r>
                <w:rPr>
                  <w:rStyle w:val="Hyperlink"/>
                </w:rPr>
                <w:t xml:space="preserve">Clinical care standard indicators: antimicrobial stewardship 2020</w:t>
              </w:r>
            </w:hyperlink>
          </w:p>
          <w:p>
            <w:pPr>
              <w:pStyle w:val="registration-status"/>
              <w:spacing w:before="0" w:after="0"/>
            </w:pPr>
            <w:hyperlink w:history="true" r:id="Refc1fd8155c1433d">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or a procedure for which there are no documented guidelines for the administration of prophylactic antimicrobials or where prophylaxis is not indicated due to the patient’s current antimicrobial therapy. The numerator and denominator also exclude patients who have not received antimicrobials perioperatively.</w:t>
            </w:r>
          </w:p>
          <w:p>
            <w:pPr>
              <w:spacing w:after="160"/>
            </w:pPr>
            <w:r>
              <w:rPr>
                <w:rStyle w:val="row-content-rich-text"/>
              </w:rPr>
              <w:t xml:space="preserve">For the numerator, 'in accordance' means that the antimicrobial is administered within the recommended time period as per the current </w:t>
            </w:r>
            <w:r>
              <w:rPr>
                <w:rStyle w:val="row-content-rich-text"/>
                <w:i/>
              </w:rPr>
              <w:t xml:space="preserve">Therapeutic Guidelines</w:t>
            </w:r>
            <w:r>
              <w:rPr>
                <w:rStyle w:val="row-content-rich-text"/>
              </w:rPr>
              <w:t xml:space="preserve"> or evidence-based, locally endorsed guidelines .</w:t>
            </w:r>
          </w:p>
          <w:p>
            <w:pPr>
              <w:spacing w:after="160"/>
            </w:pPr>
            <w:r>
              <w:rPr>
                <w:rStyle w:val="row-content-rich-text"/>
              </w:rPr>
              <w:t xml:space="preserve">If the patient undergoing surgery or a procedure receives multiple prophylactic antimicrobials, then the time of administration of all prophylactic antimicrobials should be in accordance with the guidelines in order for the patient to be counted in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 perioperative prophylactic antimicrobial within the recommended time period,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184ea60f9ab3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736898</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60b0ba47a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ea60f9ab348df" /><Relationship Type="http://schemas.openxmlformats.org/officeDocument/2006/relationships/header" Target="/word/header1.xml" Id="R8cd584c8af4d4173" /><Relationship Type="http://schemas.openxmlformats.org/officeDocument/2006/relationships/settings" Target="/word/settings.xml" Id="R120b84d8bdb149db" /><Relationship Type="http://schemas.openxmlformats.org/officeDocument/2006/relationships/styles" Target="/word/styles.xml" Id="R95400d7bfc494a27" /><Relationship Type="http://schemas.openxmlformats.org/officeDocument/2006/relationships/hyperlink" Target="https://meteor.aihw.gov.au/RegistrationAuthority/18" TargetMode="External" Id="R5b6759cdf16d4e4f" /><Relationship Type="http://schemas.openxmlformats.org/officeDocument/2006/relationships/hyperlink" Target="https://meteor.aihw.gov.au/content/736878" TargetMode="External" Id="R5ddc16d4740c44c2" /><Relationship Type="http://schemas.openxmlformats.org/officeDocument/2006/relationships/hyperlink" Target="https://meteor.aihw.gov.au/RegistrationAuthority/18" TargetMode="External" Id="Refc1fd8155c1433d" /></Relationships>
</file>

<file path=word/_rels/header1.xml.rels>&#65279;<?xml version="1.0" encoding="utf-8"?><Relationships xmlns="http://schemas.openxmlformats.org/package/2006/relationships"><Relationship Type="http://schemas.openxmlformats.org/officeDocument/2006/relationships/image" Target="/media/image.png" Id="R02260b0ba47a4e8f" /></Relationships>
</file>