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217927264de40a1" /></Relationships>
</file>

<file path=word/document.xml><?xml version="1.0" encoding="utf-8"?>
<w:document xmlns:r="http://schemas.openxmlformats.org/officeDocument/2006/relationships" xmlns:w="http://schemas.openxmlformats.org/wordprocessingml/2006/main">
  <w:body>
    <w:p>
      <w:pPr>
        <w:pStyle w:val="Title"/>
      </w:pPr>
      <w:r>
        <w:t>Management of Peripheral Intravenous Catheters Clinical Care Standard: 07b-Proportion of patients with a PIVC in situ with the indication for insertion documented in their medical record</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Management of Peripheral Intravenous Catheters Clinical Care Standard: 07b-Proportion of patients with a PIVC in situ with the indication for insertion documented in their medical record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7b-Proportion of patients with a PIVC in situ with the indication for insertion documented in their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735081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d38b83271a420e">
              <w:r>
                <w:rPr>
                  <w:rStyle w:val="Hyperlink"/>
                  <w:color w:val="244061"/>
                </w:rPr>
                <w:t xml:space="preserve">Australian Commission on Safety and Quality in Health Care</w:t>
              </w:r>
            </w:hyperlink>
            <w:r>
              <w:rPr>
                <w:rStyle w:val="row-content"/>
                <w:color w:val="244061"/>
              </w:rPr>
              <w:t xml:space="preserve">, Standard 25/05/2021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patients with a PIVC in situ with the indication for insertion documented in their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plan for a patient’s PIVC should be clear and decisions relating to the device and its condition accurately recorded and accessible to all clinicians involved in the patient’s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019f63c631b4f5b">
              <w:r>
                <w:rPr>
                  <w:rStyle w:val="Hyperlink"/>
                </w:rPr>
                <w:t xml:space="preserve">Clinical care standard indicators: Management of Peripheral Intravenous Catheters </w:t>
              </w:r>
            </w:hyperlink>
          </w:p>
          <w:p>
            <w:pPr>
              <w:spacing w:before="0" w:after="0"/>
            </w:pPr>
            <w:r>
              <w:rPr>
                <w:rStyle w:val="row-content"/>
                <w:color w:val="244061"/>
              </w:rPr>
              <w:t xml:space="preserve">       </w:t>
            </w:r>
            <w:hyperlink w:history="true" r:id="R8694dcc4bf0545ff">
              <w:r>
                <w:rPr>
                  <w:rStyle w:val="Hyperlink"/>
                  <w:color w:val="244061"/>
                </w:rPr>
                <w:t xml:space="preserve">Australian Commission on Safety and Quality in Health Care</w:t>
              </w:r>
            </w:hyperlink>
            <w:r>
              <w:rPr>
                <w:rStyle w:val="row-content"/>
                <w:color w:val="244061"/>
              </w:rPr>
              <w:t xml:space="preserve">, Standard 25/05/2021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All 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x 100​</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patients with a PIVC in situ where the indication for PIVC insertion is documented in their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patients with a PIVC in situ.</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 2021. Peripheral Venous Access clinical care standard. Australian Commission on Safety and Quality in Health Care, Sydney.</w:t>
            </w:r>
          </w:p>
          <w:p>
            <w:pPr/>
            <w:r>
              <w:rPr>
                <w:rStyle w:val="row-content-rich-text"/>
              </w:rPr>
              <w:t xml:space="preserve">Schults JA, Kleidon T, Chopra C, et al. International recommendations for a vascular access minimum data set: A Delphi consensus-building study. 2020. BMJ Quality &amp; Safety.</w:t>
            </w:r>
          </w:p>
        </w:tc>
      </w:tr>
    </w:tbl>
    <w:p>
      <w:r>
        <w:br/>
      </w:r>
    </w:p>
    <w:sectPr>
      <w:footerReference xmlns:r="http://schemas.openxmlformats.org/officeDocument/2006/relationships" w:type="default" r:id="Rf5343083814044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735081</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774bbbef744f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3430838140448b" /><Relationship Type="http://schemas.openxmlformats.org/officeDocument/2006/relationships/header" Target="/word/header1.xml" Id="Rda53f261cc84482c" /><Relationship Type="http://schemas.openxmlformats.org/officeDocument/2006/relationships/settings" Target="/word/settings.xml" Id="Rfdc90e2b74a540cd" /><Relationship Type="http://schemas.openxmlformats.org/officeDocument/2006/relationships/styles" Target="/word/styles.xml" Id="R846de5fa8ed34dfe" /><Relationship Type="http://schemas.openxmlformats.org/officeDocument/2006/relationships/hyperlink" Target="https://meteor.aihw.gov.au/RegistrationAuthority/18" TargetMode="External" Id="Rb4d38b83271a420e" /><Relationship Type="http://schemas.openxmlformats.org/officeDocument/2006/relationships/hyperlink" Target="https://meteor.aihw.gov.au/content/732513" TargetMode="External" Id="R3019f63c631b4f5b" /><Relationship Type="http://schemas.openxmlformats.org/officeDocument/2006/relationships/hyperlink" Target="https://meteor.aihw.gov.au/RegistrationAuthority/18" TargetMode="External" Id="R8694dcc4bf0545ff" /></Relationships>
</file>

<file path=word/_rels/header1.xml.rels>&#65279;<?xml version="1.0" encoding="utf-8"?><Relationships xmlns="http://schemas.openxmlformats.org/package/2006/relationships"><Relationship Type="http://schemas.openxmlformats.org/officeDocument/2006/relationships/image" Target="/media/image.png" Id="R51774bbbef744f3f" /></Relationships>
</file>