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10d487154a4261" /></Relationships>
</file>

<file path=word/document.xml><?xml version="1.0" encoding="utf-8"?>
<w:document xmlns:r="http://schemas.openxmlformats.org/officeDocument/2006/relationships" xmlns:w="http://schemas.openxmlformats.org/wordprocessingml/2006/main">
  <w:body>
    <w:p>
      <w:pPr>
        <w:pStyle w:val="Title"/>
      </w:pPr>
      <w:r>
        <w:t>Management of Peripheral Intravenous Catheters Clinical Care Standard: 04b-Proportion of patients with a PIVC in situ over an area of flexion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Management of Peripheral Intravenous Catheters Clinical Care Standard: 04b-Proportion of patients with a PIVC in situ over an area of flexion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4b-Proportion of patients with a PIVC in situ over an area of flexion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733360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4fe1927c134ed2">
              <w:r>
                <w:rPr>
                  <w:rStyle w:val="Hyperlink"/>
                  <w:color w:val="244061"/>
                </w:rPr>
                <w:t xml:space="preserve">Australian Commission on Safety and Quality in Health Care</w:t>
              </w:r>
            </w:hyperlink>
            <w:r>
              <w:rPr>
                <w:rStyle w:val="row-content"/>
                <w:color w:val="244061"/>
              </w:rPr>
              <w:t xml:space="preserve">, Standard 25/05/2021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patients with a PIVC in situ over an area of flexion.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An appropriate PIVC should be selected and inserted in a suitable site to minimise the risk of failure and other device-related complications, taking into account the patient's clinical condition and preferences for the location of the PIVC.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405b592b66b41aa">
              <w:r>
                <w:rPr>
                  <w:rStyle w:val="Hyperlink"/>
                </w:rPr>
                <w:t xml:space="preserve">Clinical care standard indicators: Management of Peripheral Intravenous Catheters </w:t>
              </w:r>
            </w:hyperlink>
          </w:p>
          <w:p>
            <w:pPr>
              <w:spacing w:before="0" w:after="0"/>
            </w:pPr>
            <w:r>
              <w:rPr>
                <w:rStyle w:val="row-content"/>
                <w:color w:val="244061"/>
              </w:rPr>
              <w:t xml:space="preserve">       </w:t>
            </w:r>
            <w:hyperlink w:history="true" r:id="R9fa28e4e8a7c49e7">
              <w:r>
                <w:rPr>
                  <w:rStyle w:val="Hyperlink"/>
                  <w:color w:val="244061"/>
                </w:rPr>
                <w:t xml:space="preserve">Australian Commission on Safety and Quality in Health Care</w:t>
              </w:r>
            </w:hyperlink>
            <w:r>
              <w:rPr>
                <w:rStyle w:val="row-content"/>
                <w:color w:val="244061"/>
              </w:rPr>
              <w:t xml:space="preserve">, Standard 25/05/2021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All 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Both the numerator and the denominator include patients with a PIVC in situ with a dwell time ≧ 24 hours.</w:t>
            </w:r>
          </w:p>
          <w:p>
            <w:pPr>
              <w:spacing w:after="160"/>
            </w:pPr>
            <w:r>
              <w:rPr>
                <w:rStyle w:val="row-content-rich-text"/>
              </w:rPr>
              <w:t xml:space="preserve">For the 'numerator', the entry point, or cannula body should not lie over an area of flexion. Area of flexion defined as cubital fossa, wrist, or ankle.</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x 100​</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patients with a PIVC in situ inserted over an area of flexion.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patients with a PIVC in situ.</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 2021. Peripheral Venous Access clinical care standard. Australian Commission on Safety and Quality in Health Care, Sydney.</w:t>
            </w:r>
          </w:p>
          <w:p>
            <w:pPr/>
            <w:r>
              <w:rPr>
                <w:rStyle w:val="row-content-rich-text"/>
              </w:rPr>
              <w:t xml:space="preserve">Schults JA, Kleidon T, Chopra C, et al. 2020. International recommendations for a vascular access minimum data set: A Delphi consensus-building study. BMJ Quality &amp; Safety. </w:t>
            </w:r>
          </w:p>
        </w:tc>
      </w:tr>
    </w:tbl>
    <w:p>
      <w:r>
        <w:br/>
      </w:r>
    </w:p>
    <w:sectPr>
      <w:footerReference xmlns:r="http://schemas.openxmlformats.org/officeDocument/2006/relationships" w:type="default" r:id="R0191f5c2e43b4b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733360</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96c28c433c4f2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91f5c2e43b4b36" /><Relationship Type="http://schemas.openxmlformats.org/officeDocument/2006/relationships/header" Target="/word/header1.xml" Id="R3a7b67bdff8d4a55" /><Relationship Type="http://schemas.openxmlformats.org/officeDocument/2006/relationships/settings" Target="/word/settings.xml" Id="Rb4a686916f254e0f" /><Relationship Type="http://schemas.openxmlformats.org/officeDocument/2006/relationships/styles" Target="/word/styles.xml" Id="R3ae53b34e8d644c2" /><Relationship Type="http://schemas.openxmlformats.org/officeDocument/2006/relationships/hyperlink" Target="https://meteor.aihw.gov.au/RegistrationAuthority/18" TargetMode="External" Id="Rcc4fe1927c134ed2" /><Relationship Type="http://schemas.openxmlformats.org/officeDocument/2006/relationships/hyperlink" Target="https://meteor.aihw.gov.au/content/732513" TargetMode="External" Id="R6405b592b66b41aa" /><Relationship Type="http://schemas.openxmlformats.org/officeDocument/2006/relationships/hyperlink" Target="https://meteor.aihw.gov.au/RegistrationAuthority/18" TargetMode="External" Id="R9fa28e4e8a7c49e7" /></Relationships>
</file>

<file path=word/_rels/header1.xml.rels>&#65279;<?xml version="1.0" encoding="utf-8"?><Relationships xmlns="http://schemas.openxmlformats.org/package/2006/relationships"><Relationship Type="http://schemas.openxmlformats.org/officeDocument/2006/relationships/image" Target="/media/image.png" Id="R5796c28c433c4f23" /></Relationships>
</file>