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9e2eebdfc04024"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03- Evidence of a locally approved policy that ensures healthcare professionals are competent in PIVC insertion, monitoring, and removal </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03- Evidence of a locally approved policy that ensures healthcare professionals are competent in PIVC insertion, monitoring, and removal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3-Evidence of a locally approved policy that ensures healthcare professionals are competent in PIVC insertion, monitoring, and removal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68e4e78d9f4371">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a locally approved policy that ensures healthcare professionals are competent in PIVC insertion, monitoring, and removal.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PIVCs should be inserted, maintained, and removed by appropriately skilled members of the healthcare team to minimise the risk of trauma to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ab6dfbed214e99">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59301273c7ec4237">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Evidence of a locally approved policy that defines the:</w:t>
            </w:r>
          </w:p>
          <w:p>
            <w:pPr>
              <w:pStyle w:val="ListParagraph"/>
              <w:numPr>
                <w:ilvl w:val="0"/>
                <w:numId w:val="2"/>
              </w:numPr>
            </w:pPr>
            <w:r>
              <w:rPr>
                <w:rStyle w:val="row-content-rich-text"/>
              </w:rPr>
              <w:t xml:space="preserve">Competency a clinician must demonstrate to insert a PIVC, including for more complex and technology assisted insertions </w:t>
            </w:r>
          </w:p>
          <w:p>
            <w:pPr>
              <w:pStyle w:val="ListParagraph"/>
              <w:numPr>
                <w:ilvl w:val="0"/>
                <w:numId w:val="2"/>
              </w:numPr>
            </w:pPr>
            <w:r>
              <w:rPr>
                <w:rStyle w:val="row-content-rich-text"/>
              </w:rPr>
              <w:t xml:space="preserve">Competency a clinician must demonstrate to monitor and remove a PIVCs</w:t>
            </w:r>
          </w:p>
          <w:p>
            <w:pPr>
              <w:pStyle w:val="ListParagraph"/>
              <w:numPr>
                <w:ilvl w:val="0"/>
                <w:numId w:val="2"/>
              </w:numPr>
            </w:pPr>
            <w:r>
              <w:rPr>
                <w:rStyle w:val="row-content-rich-text"/>
              </w:rPr>
              <w:t xml:space="preserve">Organisation’s process to assess and monitor the ongoing competency of clinicians, including for more complex insertions, and</w:t>
            </w:r>
          </w:p>
          <w:p>
            <w:pPr>
              <w:pStyle w:val="ListParagraph"/>
              <w:numPr>
                <w:ilvl w:val="0"/>
                <w:numId w:val="2"/>
              </w:numPr>
            </w:pPr>
            <w:r>
              <w:rPr>
                <w:rStyle w:val="row-content-rich-text"/>
              </w:rPr>
              <w:t xml:space="preserve">Organisation’s process to assess adherence to the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2021. Peripheral Venous Access clinical care standard. Australian Commission on Safety and Quality in Health Care, Sydney.</w:t>
            </w:r>
          </w:p>
        </w:tc>
      </w:tr>
    </w:tbl>
    <w:p>
      <w:r>
        <w:br/>
      </w:r>
    </w:p>
    <w:sectPr>
      <w:footerReference xmlns:r="http://schemas.openxmlformats.org/officeDocument/2006/relationships" w:type="default" r:id="R4363ae12c64846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732559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12dea99e5146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3ae12c64846d0" /><Relationship Type="http://schemas.openxmlformats.org/officeDocument/2006/relationships/header" Target="/word/header1.xml" Id="R8583d43ccdeb45df" /><Relationship Type="http://schemas.openxmlformats.org/officeDocument/2006/relationships/settings" Target="/word/settings.xml" Id="R4efe15ea15784399" /><Relationship Type="http://schemas.openxmlformats.org/officeDocument/2006/relationships/styles" Target="/word/styles.xml" Id="R5bd695c7bed84c6e" /><Relationship Type="http://schemas.openxmlformats.org/officeDocument/2006/relationships/hyperlink" Target="https://meteor.aihw.gov.au/RegistrationAuthority/18" TargetMode="External" Id="Rc768e4e78d9f4371" /><Relationship Type="http://schemas.openxmlformats.org/officeDocument/2006/relationships/hyperlink" Target="https://meteor.aihw.gov.au/content/732513" TargetMode="External" Id="R82ab6dfbed214e99" /><Relationship Type="http://schemas.openxmlformats.org/officeDocument/2006/relationships/hyperlink" Target="https://meteor.aihw.gov.au/RegistrationAuthority/18" TargetMode="External" Id="R59301273c7ec4237" /><Relationship Type="http://schemas.openxmlformats.org/officeDocument/2006/relationships/numbering" Target="/word/numbering.xml" Id="R66fa1a64c83e4b3f" /></Relationships>
</file>

<file path=word/_rels/header1.xml.rels>&#65279;<?xml version="1.0" encoding="utf-8"?><Relationships xmlns="http://schemas.openxmlformats.org/package/2006/relationships"><Relationship Type="http://schemas.openxmlformats.org/officeDocument/2006/relationships/image" Target="/media/image.png" Id="R3712dea99e5146ff" /></Relationships>
</file>