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fd847c16a242f3" /></Relationships>
</file>

<file path=word/document.xml><?xml version="1.0" encoding="utf-8"?>
<w:document xmlns:r="http://schemas.openxmlformats.org/officeDocument/2006/relationships" xmlns:w="http://schemas.openxmlformats.org/wordprocessingml/2006/main">
  <w:body>
    <w:p>
      <w:pPr>
        <w:pStyle w:val="Title"/>
      </w:pPr>
      <w:r>
        <w:t>Adoption 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8a83dc9aee4cba">
              <w:r>
                <w:rPr>
                  <w:rStyle w:val="Hyperlink"/>
                  <w:color w:val="244061"/>
                </w:rPr>
                <w:t xml:space="preserve">Children and Families</w:t>
              </w:r>
            </w:hyperlink>
            <w:r>
              <w:rPr>
                <w:rStyle w:val="row-content"/>
                <w:color w:val="244061"/>
              </w:rPr>
              <w:t xml:space="preserve">, Standard 20/02/2021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Indigenous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Australian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 </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stated/inadequately described' responses. The classification is as follows:</w:t>
            </w:r>
          </w:p>
          <w:p>
            <w:pPr>
              <w:spacing w:after="160"/>
            </w:pPr>
            <w:r>
              <w:rPr>
                <w:rStyle w:val="row-content-rich-text"/>
                <w:b/>
              </w:rPr>
              <w:t xml:space="preserve">Indigenous Australians:</w:t>
            </w:r>
            <w:r>
              <w:rPr>
                <w:rStyle w:val="row-content-rich-text"/>
              </w:rPr>
              <w:t xml:space="preserve"> </w:t>
            </w:r>
          </w:p>
          <w:p>
            <w:pPr>
              <w:pStyle w:val="ListParagraph"/>
              <w:numPr>
                <w:ilvl w:val="0"/>
                <w:numId w:val="2"/>
              </w:numPr>
            </w:pPr>
            <w:r>
              <w:rPr>
                <w:rStyle w:val="row-content-rich-text"/>
              </w:rPr>
              <w:t xml:space="preserve">Aboriginal but not Torres Strait Islander origin. </w:t>
            </w:r>
          </w:p>
          <w:p>
            <w:pPr>
              <w:pStyle w:val="ListParagraph"/>
              <w:numPr>
                <w:ilvl w:val="0"/>
                <w:numId w:val="2"/>
              </w:numPr>
            </w:pPr>
            <w:r>
              <w:rPr>
                <w:rStyle w:val="row-content-rich-text"/>
              </w:rPr>
              <w:t xml:space="preserve">Torres Strait Islander but not Aboriginal origin. </w:t>
            </w:r>
          </w:p>
          <w:p>
            <w:pPr>
              <w:pStyle w:val="ListParagraph"/>
              <w:numPr>
                <w:ilvl w:val="0"/>
                <w:numId w:val="2"/>
              </w:numPr>
            </w:pPr>
            <w:r>
              <w:rPr>
                <w:rStyle w:val="row-content-rich-text"/>
              </w:rPr>
              <w:t xml:space="preserve">Both Aboriginal and Torres Strait Islander origin. </w:t>
            </w:r>
          </w:p>
          <w:p>
            <w:pPr>
              <w:spacing w:after="160"/>
            </w:pPr>
            <w:r>
              <w:rPr>
                <w:rStyle w:val="row-content-rich-text"/>
                <w:b/>
              </w:rPr>
              <w:t xml:space="preserve">Non-Indigenous Australians:</w:t>
            </w:r>
            <w:r>
              <w:rPr>
                <w:rStyle w:val="row-content-rich-text"/>
              </w:rPr>
              <w:t xml:space="preserve"> </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b/>
              </w:rPr>
              <w:t xml:space="preserve">Not stated/inadequately described:</w:t>
            </w:r>
            <w:r>
              <w:rPr>
                <w:rStyle w:val="row-content-rich-text"/>
              </w:rPr>
              <w:t xml:space="preserve"> </w:t>
            </w:r>
          </w:p>
          <w:p>
            <w:pPr>
              <w:spacing w:after="160"/>
            </w:pPr>
            <w:r>
              <w:rPr>
                <w:rStyle w:val="row-content-rich-text"/>
              </w:rPr>
              <w:t xml:space="preserve">This category is not to be available as a valid answer to the questions but is intended for use: </w:t>
            </w:r>
          </w:p>
          <w:p>
            <w:pPr>
              <w:pStyle w:val="ListParagraph"/>
              <w:numPr>
                <w:ilvl w:val="0"/>
                <w:numId w:val="4"/>
              </w:numPr>
            </w:pPr>
            <w:r>
              <w:rPr>
                <w:rStyle w:val="row-content-rich-text"/>
              </w:rPr>
              <w:t xml:space="preserve">Primarily when importing data from other data collections that do not contain mappable data. </w:t>
            </w:r>
          </w:p>
          <w:p>
            <w:pPr>
              <w:pStyle w:val="ListParagraph"/>
              <w:numPr>
                <w:ilvl w:val="0"/>
                <w:numId w:val="4"/>
              </w:numPr>
            </w:pPr>
            <w:r>
              <w:rPr>
                <w:rStyle w:val="row-content-rich-text"/>
              </w:rPr>
              <w:t xml:space="preserve">Where the answer cannot be determined without clarification from the respondent (for example, 'No' and 'Yes, Aboriginal' are both selected). </w:t>
            </w:r>
          </w:p>
          <w:p>
            <w:pPr>
              <w:pStyle w:val="ListParagraph"/>
              <w:numPr>
                <w:ilvl w:val="0"/>
                <w:numId w:val="4"/>
              </w:numPr>
            </w:pPr>
            <w:r>
              <w:rPr>
                <w:rStyle w:val="row-content-rich-text"/>
              </w:rPr>
              <w:t xml:space="preserve">Where an answer was declined. </w:t>
            </w:r>
          </w:p>
          <w:p>
            <w:pPr>
              <w:pStyle w:val="ListParagraph"/>
              <w:numPr>
                <w:ilvl w:val="0"/>
                <w:numId w:val="4"/>
              </w:numPr>
            </w:pPr>
            <w:r>
              <w:rPr>
                <w:rStyle w:val="row-content-rich-text"/>
              </w:rPr>
              <w:t xml:space="preserve">Where the question was not able to be asked because the client was unable to communicate or a person who knows the client was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based on the Australian Bureau of Statistics (ABS) standard for Indigenous status. For information on the Indigenous status standard refer to the </w:t>
            </w:r>
            <w:hyperlink w:history="true" r:id="Rfdeb5df0be5c4176">
              <w:r>
                <w:rPr>
                  <w:rStyle w:val="Hyperlink"/>
                </w:rPr>
                <w:t xml:space="preserve">Person—Indigenous status,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bcae5d6d91e48e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4b7f8be3284f3e">
              <w:r>
                <w:rPr>
                  <w:rStyle w:val="Hyperlink"/>
                </w:rPr>
                <w:t xml:space="preserve">Adoption Indigenous status code N</w:t>
              </w:r>
            </w:hyperlink>
          </w:p>
          <w:p>
            <w:pPr>
              <w:pStyle w:val="registration-status"/>
              <w:spacing w:before="0" w:after="0"/>
            </w:pPr>
            <w:hyperlink w:history="true" r:id="R296123b994eb4699">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166a97dddd2438a">
              <w:r>
                <w:rPr>
                  <w:rStyle w:val="Hyperlink"/>
                </w:rPr>
                <w:t xml:space="preserve">Adoption—Indigenous status, code N</w:t>
              </w:r>
            </w:hyperlink>
          </w:p>
          <w:p>
            <w:pPr>
              <w:pStyle w:val="registration-status"/>
              <w:spacing w:before="0" w:after="0"/>
            </w:pPr>
            <w:hyperlink w:history="true" r:id="R009c124e3d924f66">
              <w:r>
                <w:rPr>
                  <w:rStyle w:val="Hyperlink"/>
                  <w:color w:val="244061"/>
                </w:rPr>
                <w:t xml:space="preserve">Children and Families</w:t>
              </w:r>
            </w:hyperlink>
            <w:r>
              <w:rPr>
                <w:rStyle w:val="row-content"/>
                <w:color w:val="244061"/>
              </w:rPr>
              <w:t xml:space="preserve">, Standard 20/01/2021</w:t>
            </w:r>
          </w:p>
          <w:p>
            <w:r>
              <w:br/>
            </w:r>
          </w:p>
        </w:tc>
      </w:tr>
    </w:tbl>
    <w:p>
      <w:r>
        <w:br/>
      </w:r>
    </w:p>
    <w:sectPr>
      <w:footerReference xmlns:r="http://schemas.openxmlformats.org/officeDocument/2006/relationships" w:type="default" r:id="R30f6bc0ada134f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729916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1bb29bf10c45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f6bc0ada134f95" /><Relationship Type="http://schemas.openxmlformats.org/officeDocument/2006/relationships/header" Target="/word/header1.xml" Id="R619562e206bc4e05" /><Relationship Type="http://schemas.openxmlformats.org/officeDocument/2006/relationships/settings" Target="/word/settings.xml" Id="R8b29a40c5f144a7c" /><Relationship Type="http://schemas.openxmlformats.org/officeDocument/2006/relationships/styles" Target="/word/styles.xml" Id="Rd9ad042eb9f346f4" /><Relationship Type="http://schemas.openxmlformats.org/officeDocument/2006/relationships/numbering" Target="/word/numbering.xml" Id="R5a487445a64b47e0" /><Relationship Type="http://schemas.openxmlformats.org/officeDocument/2006/relationships/hyperlink" Target="https://meteor.aihw.gov.au/RegistrationAuthority/17" TargetMode="External" Id="Raa8a83dc9aee4cba" /><Relationship Type="http://schemas.openxmlformats.org/officeDocument/2006/relationships/hyperlink" Target="https://meteor.aihw.gov.au/content/602543" TargetMode="External" Id="Rfdeb5df0be5c4176" /><Relationship Type="http://schemas.openxmlformats.org/officeDocument/2006/relationships/hyperlink" Target="https://meteor.aihw.gov.au/content/246013" TargetMode="External" Id="R8bcae5d6d91e48e7" /><Relationship Type="http://schemas.openxmlformats.org/officeDocument/2006/relationships/hyperlink" Target="https://meteor.aihw.gov.au/content/651228" TargetMode="External" Id="R914b7f8be3284f3e" /><Relationship Type="http://schemas.openxmlformats.org/officeDocument/2006/relationships/hyperlink" Target="https://meteor.aihw.gov.au/RegistrationAuthority/17" TargetMode="External" Id="R296123b994eb4699" /><Relationship Type="http://schemas.openxmlformats.org/officeDocument/2006/relationships/hyperlink" Target="https://meteor.aihw.gov.au/content/729914" TargetMode="External" Id="Rc166a97dddd2438a" /><Relationship Type="http://schemas.openxmlformats.org/officeDocument/2006/relationships/hyperlink" Target="https://meteor.aihw.gov.au/RegistrationAuthority/17" TargetMode="External" Id="R009c124e3d924f66" /></Relationships>
</file>

<file path=word/_rels/header1.xml.rels>&#65279;<?xml version="1.0" encoding="utf-8"?><Relationships xmlns="http://schemas.openxmlformats.org/package/2006/relationships"><Relationship Type="http://schemas.openxmlformats.org/officeDocument/2006/relationships/image" Target="/media/image.png" Id="R201bb29bf10c4572" /></Relationships>
</file>