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3af66d3846459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2.1.2–Females with an antenatal visit in the first trimester of pregnancy,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2.1.2–Females with an antenatal visit in the first trimester of pregnancy,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2.1.2–Females with an antenatal visit in the first trimester of pregnancy,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women who gave birth and had at least one antenatal visit in the first trimester; Pregnancies with an antenatal visit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d0a871af84d70">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where an antenatal visit was reported in the first trimester, as a proportion of all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16fd96735e41d9">
              <w:r>
                <w:rPr>
                  <w:rStyle w:val="Hyperlink"/>
                </w:rPr>
                <w:t xml:space="preserve">Australian Health Performance Framework, 2020</w:t>
              </w:r>
            </w:hyperlink>
          </w:p>
          <w:p>
            <w:pPr>
              <w:spacing w:before="0" w:after="0"/>
            </w:pPr>
            <w:r>
              <w:rPr>
                <w:rStyle w:val="row-content"/>
                <w:color w:val="244061"/>
              </w:rPr>
              <w:t xml:space="preserve">       </w:t>
            </w:r>
            <w:hyperlink w:history="true" r:id="Rc56a7685fca9477a">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women whose gestation at first antenatal visit was not stated.</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percentage: </w:t>
            </w:r>
            <w:r>
              <w:rPr>
                <w:rStyle w:val="row-content-rich-text"/>
              </w:rPr>
              <w:t xml:space="preserve">100 x (Numerator ÷ Denominator)</w:t>
            </w:r>
          </w:p>
          <w:p>
            <w:pPr/>
            <w:r>
              <w:rPr>
                <w:rStyle w:val="row-content-rich-text"/>
                <w:b/>
              </w:rPr>
              <w:t xml:space="preserve">Age-standardised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to at least 1 live or stillborn baby, where an antenatal visit was reported in the first trimester (up to and including 13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55c4f0f6714556">
              <w:r>
                <w:rPr>
                  <w:rStyle w:val="Hyperlink"/>
                </w:rPr>
                <w:t xml:space="preserve">Pregnancy—estimated duration (at the first visit for antenatal care), completed weeks N[N]</w:t>
              </w:r>
            </w:hyperlink>
          </w:p>
          <w:p>
            <w:r>
              <w:rPr>
                <w:rStyle w:val="row-content"/>
                <w:b/>
              </w:rPr>
              <w:t xml:space="preserve">Data Source</w:t>
            </w:r>
          </w:p>
          <w:p>
            <w:hyperlink w:history="true" r:id="R431996c129fb41c0">
              <w:r>
                <w:rPr>
                  <w:rStyle w:val="Hyperlink"/>
                </w:rPr>
                <w:t xml:space="preserve">AIHW National Perinatal Data Collection (NPDC)</w:t>
              </w:r>
            </w:hyperlink>
          </w:p>
          <w:p>
            <w:r>
              <w:rPr>
                <w:rStyle w:val="row-content"/>
                <w:b/>
              </w:rPr>
              <w:t xml:space="preserve">NMDS / DSS</w:t>
            </w:r>
          </w:p>
          <w:p>
            <w:hyperlink w:history="true" r:id="Refd19999cecd46e0">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to at least 1 live or stillborn baby (where gestation at first antenatal visit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7dd873b6a344df">
              <w:r>
                <w:rPr>
                  <w:rStyle w:val="Hyperlink"/>
                </w:rPr>
                <w:t xml:space="preserve">Pregnancy—estimated duration (at the first visit for antenatal care), completed weeks N[N]</w:t>
              </w:r>
            </w:hyperlink>
          </w:p>
          <w:p>
            <w:r>
              <w:rPr>
                <w:rStyle w:val="row-content"/>
                <w:b/>
              </w:rPr>
              <w:t xml:space="preserve">Data Source</w:t>
            </w:r>
          </w:p>
          <w:p>
            <w:hyperlink w:history="true" r:id="Ra6655e2c01ce4d12">
              <w:r>
                <w:rPr>
                  <w:rStyle w:val="Hyperlink"/>
                </w:rPr>
                <w:t xml:space="preserve">AIHW National Perinatal Data Collection (NPDC)</w:t>
              </w:r>
            </w:hyperlink>
          </w:p>
          <w:p>
            <w:r>
              <w:rPr>
                <w:rStyle w:val="row-content"/>
                <w:b/>
              </w:rPr>
              <w:t xml:space="preserve">NMDS / DSS</w:t>
            </w:r>
          </w:p>
          <w:p>
            <w:hyperlink w:history="true" r:id="R46e02522c0844ddb">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 —National and state/territory by:</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2018—Primary Health Network (PHN).</w:t>
            </w:r>
          </w:p>
          <w:p>
            <w:pPr>
              <w:spacing w:after="160"/>
            </w:pPr>
            <w:r>
              <w:rPr>
                <w:rStyle w:val="row-content-rich-text"/>
              </w:rPr>
              <w:t xml:space="preserve"> </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remoteness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Time series: 2012, 2013, 2014, 2015, 2016, 2017, and 2018—PHN.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31620f636247d2">
              <w:r>
                <w:rPr>
                  <w:rStyle w:val="Hyperlink"/>
                </w:rPr>
                <w:t xml:space="preserve">Person—Indigenous status, code N</w:t>
              </w:r>
            </w:hyperlink>
          </w:p>
          <w:p>
            <w:r>
              <w:rPr>
                <w:rStyle w:val="row-content"/>
                <w:b/>
              </w:rPr>
              <w:t xml:space="preserve">Data Source</w:t>
            </w:r>
          </w:p>
          <w:p>
            <w:hyperlink w:history="true" r:id="R9ca03ae4e52745f2">
              <w:r>
                <w:rPr>
                  <w:rStyle w:val="Hyperlink"/>
                </w:rPr>
                <w:t xml:space="preserve">AIHW National Perinatal Data Collection (NPDC)</w:t>
              </w:r>
            </w:hyperlink>
          </w:p>
          <w:p>
            <w:r>
              <w:rPr>
                <w:rStyle w:val="row-content"/>
                <w:b/>
              </w:rPr>
              <w:t xml:space="preserve">NMDS / DSS</w:t>
            </w:r>
          </w:p>
          <w:p>
            <w:hyperlink w:history="true" r:id="Rddc91bcf0dc9469b">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4a80c67009473c">
              <w:r>
                <w:rPr>
                  <w:rStyle w:val="Hyperlink"/>
                </w:rPr>
                <w:t xml:space="preserve">Person—area of usual residence, statistical area level 2 (SA2) code (ASGS 2016) N(9)</w:t>
              </w:r>
            </w:hyperlink>
          </w:p>
          <w:p>
            <w:r>
              <w:rPr>
                <w:rStyle w:val="row-content"/>
                <w:b/>
              </w:rPr>
              <w:t xml:space="preserve">Data Source</w:t>
            </w:r>
          </w:p>
          <w:p>
            <w:hyperlink w:history="true" r:id="Rdeae2f2c7c9e4fa8">
              <w:r>
                <w:rPr>
                  <w:rStyle w:val="Hyperlink"/>
                </w:rPr>
                <w:t xml:space="preserve">AIHW National Perinatal Data Collection (NPDC)</w:t>
              </w:r>
            </w:hyperlink>
          </w:p>
          <w:p>
            <w:r>
              <w:rPr>
                <w:rStyle w:val="row-content"/>
                <w:b/>
              </w:rPr>
              <w:t xml:space="preserve">NMDS / DSS</w:t>
            </w:r>
          </w:p>
          <w:p>
            <w:hyperlink w:history="true" r:id="Rb8e0f5f781b3443d">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p>
            <w:pPr>
              <w:spacing w:after="160"/>
            </w:pPr>
            <w:r>
              <w:rPr>
                <w:rStyle w:val="row-content-rich-text"/>
              </w:rPr>
              <w:t xml:space="preserve">Antenatal visits relate to care provided by skilled birth attendants for reasons related to pregnancy. For the Australian Capital Territory, first antenatal visit is often the first hospital antenatal clinic visit. In many cases earlier antenatal care provided by the woman’s GP is not reported.</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 </w:t>
            </w:r>
            <w:r>
              <w:rPr>
                <w:rStyle w:val="row-content-rich-text"/>
              </w:rPr>
              <w:t xml:space="preserve">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pStyle w:val="ListParagraph"/>
              <w:numPr>
                <w:ilvl w:val="0"/>
                <w:numId w:val="5"/>
              </w:numPr>
            </w:pPr>
            <w:r>
              <w:rPr>
                <w:rStyle w:val="row-content-rich-text"/>
              </w:rPr>
              <w:t xml:space="preserve">the age-standardised rates and rate ratios lie largely outside the range of the age-specific rates and rate ratios</w:t>
            </w:r>
          </w:p>
          <w:p>
            <w:pPr>
              <w:pStyle w:val="ListParagraph"/>
              <w:numPr>
                <w:ilvl w:val="0"/>
                <w:numId w:val="5"/>
              </w:numPr>
            </w:pPr>
            <w:r>
              <w:rPr>
                <w:rStyle w:val="row-content-rich-text"/>
              </w:rPr>
              <w:t xml:space="preserve">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pStyle w:val="ListParagraph"/>
              <w:numPr>
                <w:ilvl w:val="0"/>
                <w:numId w:val="5"/>
              </w:numPr>
            </w:pPr>
            <w:r>
              <w:rPr>
                <w:rStyle w:val="row-content-rich-text"/>
              </w:rPr>
              <w:t xml:space="preserve">the age-specific rates depart from the assumption of a uniform increase in death with age (for example, injury which peaks in the young adult to middle-ages and certain cancers amenable to treatment for some age groups)</w:t>
            </w:r>
          </w:p>
          <w:p>
            <w:pPr>
              <w:pStyle w:val="ListParagraph"/>
              <w:numPr>
                <w:ilvl w:val="0"/>
                <w:numId w:val="5"/>
              </w:numPr>
            </w:pPr>
            <w:r>
              <w:rPr>
                <w:rStyle w:val="row-content-rich-text"/>
              </w:rPr>
              <w:t xml:space="preserve">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bbc1e7663d499f">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854ce833b7484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d23c7543e741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9fe291651a4bb0">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290dc16a3fe64176">
              <w:r>
                <w:rPr>
                  <w:rStyle w:val="Hyperlink"/>
                  <w:color w:val="244061"/>
                </w:rPr>
                <w:t xml:space="preserve">Health</w:t>
              </w:r>
            </w:hyperlink>
            <w:r>
              <w:rPr>
                <w:rStyle w:val="row-content"/>
                <w:color w:val="244061"/>
              </w:rPr>
              <w:t xml:space="preserve">, Superseded 01/12/2020</w:t>
            </w:r>
          </w:p>
          <w:p>
            <w:r>
              <w:br/>
            </w:r>
          </w:p>
        </w:tc>
      </w:tr>
    </w:tbl>
    <w:p>
      <w:r>
        <w:br/>
      </w:r>
    </w:p>
    <w:sectPr>
      <w:footerReference xmlns:r="http://schemas.openxmlformats.org/officeDocument/2006/relationships" w:type="default" r:id="Rbe3acc2c11a6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3a947cb1249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acc2c11a64e53" /><Relationship Type="http://schemas.openxmlformats.org/officeDocument/2006/relationships/header" Target="/word/header1.xml" Id="Rf1fdef6d184e421d" /><Relationship Type="http://schemas.openxmlformats.org/officeDocument/2006/relationships/settings" Target="/word/settings.xml" Id="Rd0880dc77bde4f05" /><Relationship Type="http://schemas.openxmlformats.org/officeDocument/2006/relationships/styles" Target="/word/styles.xml" Id="R37ddb4cdcb84430c" /><Relationship Type="http://schemas.openxmlformats.org/officeDocument/2006/relationships/hyperlink" Target="https://meteor.aihw.gov.au/RegistrationAuthority/12" TargetMode="External" Id="R051d0a871af84d70" /><Relationship Type="http://schemas.openxmlformats.org/officeDocument/2006/relationships/hyperlink" Target="https://meteor.aihw.gov.au/content/728283" TargetMode="External" Id="R0b16fd96735e41d9" /><Relationship Type="http://schemas.openxmlformats.org/officeDocument/2006/relationships/hyperlink" Target="https://meteor.aihw.gov.au/RegistrationAuthority/12" TargetMode="External" Id="Rc56a7685fca9477a" /><Relationship Type="http://schemas.openxmlformats.org/officeDocument/2006/relationships/numbering" Target="/word/numbering.xml" Id="R1ed59f4099f44ed0" /><Relationship Type="http://schemas.openxmlformats.org/officeDocument/2006/relationships/hyperlink" Target="https://meteor.aihw.gov.au/content/673258" TargetMode="External" Id="R8455c4f0f6714556" /><Relationship Type="http://schemas.openxmlformats.org/officeDocument/2006/relationships/hyperlink" Target="https://meteor.aihw.gov.au/content/392479" TargetMode="External" Id="R431996c129fb41c0" /><Relationship Type="http://schemas.openxmlformats.org/officeDocument/2006/relationships/hyperlink" Target="https://meteor.aihw.gov.au/content/668811" TargetMode="External" Id="Refd19999cecd46e0" /><Relationship Type="http://schemas.openxmlformats.org/officeDocument/2006/relationships/hyperlink" Target="https://meteor.aihw.gov.au/content/673258" TargetMode="External" Id="Rd17dd873b6a344df" /><Relationship Type="http://schemas.openxmlformats.org/officeDocument/2006/relationships/hyperlink" Target="https://meteor.aihw.gov.au/content/392479" TargetMode="External" Id="Ra6655e2c01ce4d12" /><Relationship Type="http://schemas.openxmlformats.org/officeDocument/2006/relationships/hyperlink" Target="https://meteor.aihw.gov.au/content/668811" TargetMode="External" Id="R46e02522c0844ddb" /><Relationship Type="http://schemas.openxmlformats.org/officeDocument/2006/relationships/hyperlink" Target="https://meteor.aihw.gov.au/content/602543" TargetMode="External" Id="Rf331620f636247d2" /><Relationship Type="http://schemas.openxmlformats.org/officeDocument/2006/relationships/hyperlink" Target="https://meteor.aihw.gov.au/content/392479" TargetMode="External" Id="R9ca03ae4e52745f2" /><Relationship Type="http://schemas.openxmlformats.org/officeDocument/2006/relationships/hyperlink" Target="https://meteor.aihw.gov.au/content/668811" TargetMode="External" Id="Rddc91bcf0dc9469b" /><Relationship Type="http://schemas.openxmlformats.org/officeDocument/2006/relationships/hyperlink" Target="https://meteor.aihw.gov.au/content/659725" TargetMode="External" Id="Rb84a80c67009473c" /><Relationship Type="http://schemas.openxmlformats.org/officeDocument/2006/relationships/hyperlink" Target="https://meteor.aihw.gov.au/content/392479" TargetMode="External" Id="Rdeae2f2c7c9e4fa8" /><Relationship Type="http://schemas.openxmlformats.org/officeDocument/2006/relationships/hyperlink" Target="https://meteor.aihw.gov.au/content/668811" TargetMode="External" Id="Rb8e0f5f781b3443d" /><Relationship Type="http://schemas.openxmlformats.org/officeDocument/2006/relationships/hyperlink" Target="https://meteor.aihw.gov.au/content/721641" TargetMode="External" Id="Re6bbc1e7663d499f" /><Relationship Type="http://schemas.openxmlformats.org/officeDocument/2006/relationships/hyperlink" Target="https://meteor.aihw.gov.au/content/392479" TargetMode="External" Id="Rff854ce833b7484b" /><Relationship Type="http://schemas.openxmlformats.org/officeDocument/2006/relationships/hyperlink" Target="https://meteor.aihw.gov.au/content/246013" TargetMode="External" Id="R73d23c7543e741bd" /><Relationship Type="http://schemas.openxmlformats.org/officeDocument/2006/relationships/hyperlink" Target="https://meteor.aihw.gov.au/content/715044" TargetMode="External" Id="R999fe291651a4bb0" /><Relationship Type="http://schemas.openxmlformats.org/officeDocument/2006/relationships/hyperlink" Target="https://meteor.aihw.gov.au/RegistrationAuthority/12" TargetMode="External" Id="R290dc16a3fe64176" /></Relationships>
</file>

<file path=word/_rels/header1.xml.rels>&#65279;<?xml version="1.0" encoding="utf-8"?><Relationships xmlns="http://schemas.openxmlformats.org/package/2006/relationships"><Relationship Type="http://schemas.openxmlformats.org/officeDocument/2006/relationships/image" Target="/media/image.png" Id="Rb173a947cb1249c4" /></Relationships>
</file>