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c52d8c26c4375"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6c-Proportion of patients with acute coronary syndrome (ACS) prescribed lipid-lowering therapy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6c-Proportion of patients with acute coronary syndrome (ACS) prescribed lipid-lowering therapy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6c-Proportion of patients with ACS prescribed lipid-lowering therapy on seperation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40c0c80ff40c4">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91e45533b65b48fd">
              <w:r>
                <w:rPr>
                  <w:rStyle w:val="Hyperlink"/>
                  <w:b/>
                </w:rPr>
                <w:t xml:space="preserve">acute coronary syndrome (ACS) </w:t>
              </w:r>
            </w:hyperlink>
            <w:r>
              <w:rPr>
                <w:rStyle w:val="row-content-rich-text"/>
              </w:rPr>
              <w:t xml:space="preserve">who are prescribed lipid-lowering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5bacdd28e14ab5">
              <w:r>
                <w:rPr>
                  <w:rStyle w:val="Hyperlink"/>
                </w:rPr>
                <w:t xml:space="preserve">Clinical care standard indicators: acute coronary syndromes</w:t>
              </w:r>
            </w:hyperlink>
          </w:p>
          <w:p>
            <w:pPr>
              <w:pStyle w:val="registration-status"/>
              <w:spacing w:before="0" w:after="0"/>
            </w:pPr>
            <w:hyperlink w:history="true" r:id="Re5b8e1459bd24750">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patients who died in hospital, statin-intolerant ACS patients, and other ACS patients for whom statins or other lipid-lowering therapies are contraindicated and for whom the contraindication is documented. Contraindications for statins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 statin or other lipid-lowering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r>
              <w:rPr>
                <w:rStyle w:val="row-content-rich-text"/>
              </w:rPr>
              <w:t xml:space="preserve"> </w:t>
            </w:r>
          </w:p>
        </w:tc>
      </w:tr>
    </w:tbl>
    <w:p>
      <w:r>
        <w:br/>
      </w:r>
    </w:p>
    <w:sectPr>
      <w:footerReference xmlns:r="http://schemas.openxmlformats.org/officeDocument/2006/relationships" w:type="default" r:id="Rfba512f24a42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9551f772b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512f24a424d0c" /><Relationship Type="http://schemas.openxmlformats.org/officeDocument/2006/relationships/header" Target="/word/header1.xml" Id="Re0790382407744e9" /><Relationship Type="http://schemas.openxmlformats.org/officeDocument/2006/relationships/settings" Target="/word/settings.xml" Id="Rcfc15db0684d4d13" /><Relationship Type="http://schemas.openxmlformats.org/officeDocument/2006/relationships/styles" Target="/word/styles.xml" Id="R6dd68dc1a53545f4" /><Relationship Type="http://schemas.openxmlformats.org/officeDocument/2006/relationships/hyperlink" Target="https://meteor.aihw.gov.au/RegistrationAuthority/18" TargetMode="External" Id="R70640c0c80ff40c4" /><Relationship Type="http://schemas.openxmlformats.org/officeDocument/2006/relationships/hyperlink" Target="https://meteor.aihw.gov.au/content/721541" TargetMode="External" Id="R91e45533b65b48fd" /><Relationship Type="http://schemas.openxmlformats.org/officeDocument/2006/relationships/hyperlink" Target="https://meteor.aihw.gov.au/content/719380" TargetMode="External" Id="R255bacdd28e14ab5" /><Relationship Type="http://schemas.openxmlformats.org/officeDocument/2006/relationships/hyperlink" Target="https://meteor.aihw.gov.au/RegistrationAuthority/18" TargetMode="External" Id="Re5b8e1459bd24750" /></Relationships>
</file>

<file path=word/_rels/header1.xml.rels>&#65279;<?xml version="1.0" encoding="utf-8"?><Relationships xmlns="http://schemas.openxmlformats.org/package/2006/relationships"><Relationship Type="http://schemas.openxmlformats.org/officeDocument/2006/relationships/image" Target="/media/image.png" Id="R8cb9551f772b4c1e" /></Relationships>
</file>