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c2fc498a542b9"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3a-Proportion of patients with ST-segment-elevation myocardial infarction (STEMI) receiving fibrinolysis or percutaneous coronary intervention (PCI),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3a-Proportion of patients with ST-segment-elevation myocardial infarction (STEMI) receiving fibrinolysis or percutaneous coronary intervention (PCI),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3a-Proportion of 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b57fc500f4014">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0d2734c3a5f0402c">
              <w:r>
                <w:rPr>
                  <w:rStyle w:val="Hyperlink"/>
                  <w:b/>
                </w:rPr>
                <w:t xml:space="preserve">ST-segment-elevation myocardial infarction</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3d27a440c1cb4e13">
              <w:r>
                <w:rPr>
                  <w:rStyle w:val="Hyperlink"/>
                  <w:b/>
                </w:rPr>
                <w:t xml:space="preserve"> (STEMI)</w:t>
              </w:r>
            </w:hyperlink>
            <w:r>
              <w:rPr>
                <w:rStyle w:val="row-content-rich-text"/>
              </w:rPr>
              <w:t xml:space="preserve"> presenting within 12 hours of symptom onset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d101abc29f48d9">
              <w:r>
                <w:rPr>
                  <w:rStyle w:val="Hyperlink"/>
                </w:rPr>
                <w:t xml:space="preserve">Clinical care standard indicators: acute coronary syndromes</w:t>
              </w:r>
            </w:hyperlink>
          </w:p>
          <w:p>
            <w:pPr>
              <w:pStyle w:val="registration-status"/>
              <w:spacing w:before="0" w:after="0"/>
            </w:pPr>
            <w:hyperlink w:history="true" r:id="Rb4f2c15ef3ea45bb">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72e2b5392ae64f17">
              <w:r>
                <w:rPr>
                  <w:rStyle w:val="Hyperlink"/>
                </w:rPr>
                <w:t xml:space="preserve">Episode of care—principal diagnosis, code (ICD-10-AM 11th edn) ANN{.N[N]}</w:t>
              </w:r>
            </w:hyperlink>
            <w:r>
              <w:rPr>
                <w:rStyle w:val="row-content-rich-text"/>
              </w:rPr>
              <w:t xml:space="preserve"> or </w:t>
            </w:r>
            <w:hyperlink w:history="true" r:id="R0e9bbed15bad41da">
              <w:r>
                <w:rPr>
                  <w:rStyle w:val="Hyperlink"/>
                </w:rPr>
                <w:t xml:space="preserve">Episode of care—additional diagnosis, code (ICD-10-AM 11th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edba9eb2e2f9458c">
              <w:r>
                <w:rPr>
                  <w:rStyle w:val="Hyperlink"/>
                </w:rPr>
                <w:t xml:space="preserve">Episode of admitted patient care—procedure, code (ACHI 11th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50b4885c12cb4cf4">
              <w:r>
                <w:rPr>
                  <w:rStyle w:val="Hyperlink"/>
                </w:rPr>
                <w:t xml:space="preserve">Acute coronary syndrome (clinical) National best practice data set</w:t>
              </w:r>
            </w:hyperlink>
            <w:r>
              <w:rPr>
                <w:rStyle w:val="row-content-rich-text"/>
              </w:rPr>
              <w:t xml:space="preserve">, the data element </w:t>
            </w:r>
            <w:hyperlink w:history="true" r:id="R43ce5021e645449c">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d77c0305545b403f">
              <w:r>
                <w:rPr>
                  <w:rStyle w:val="Hyperlink"/>
                </w:rPr>
                <w:t xml:space="preserve">Acute coronary syndrome (clinical) National best practice data set</w:t>
              </w:r>
            </w:hyperlink>
            <w:r>
              <w:rPr>
                <w:rStyle w:val="row-content-rich-text"/>
              </w:rPr>
              <w:t xml:space="preserve">, the data element </w:t>
            </w:r>
            <w:hyperlink w:history="true" r:id="Rdacf286299dc4998">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1430be1edcf748cd">
              <w:r>
                <w:rPr>
                  <w:rStyle w:val="Hyperlink"/>
                </w:rPr>
                <w:t xml:space="preserve">Acute coronary syndrome (clinical) National best practice data set</w:t>
              </w:r>
            </w:hyperlink>
            <w:r>
              <w:t xml:space="preserve">, contraindication for fibrinolytic therapy can be identified using the data element </w:t>
            </w:r>
            <w:hyperlink w:history="true" r:id="R9f2065b3327644e3">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06ecabbbc99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4bf117517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ecabbbc994494" /><Relationship Type="http://schemas.openxmlformats.org/officeDocument/2006/relationships/header" Target="/word/header1.xml" Id="R143748ce5fe449eb" /><Relationship Type="http://schemas.openxmlformats.org/officeDocument/2006/relationships/settings" Target="/word/settings.xml" Id="Rdf2939af48b44ce4" /><Relationship Type="http://schemas.openxmlformats.org/officeDocument/2006/relationships/styles" Target="/word/styles.xml" Id="Rdef139c6477d41a8" /><Relationship Type="http://schemas.openxmlformats.org/officeDocument/2006/relationships/numbering" Target="/word/numbering.xml" Id="Ra8480776a23c447d" /><Relationship Type="http://schemas.openxmlformats.org/officeDocument/2006/relationships/hyperlink" Target="https://meteor.aihw.gov.au/RegistrationAuthority/18" TargetMode="External" Id="R7f4b57fc500f4014" /><Relationship Type="http://schemas.openxmlformats.org/officeDocument/2006/relationships/hyperlink" Target="https://meteor.aihw.gov.au/content/721546" TargetMode="External" Id="R0d2734c3a5f0402c" /><Relationship Type="http://schemas.openxmlformats.org/officeDocument/2006/relationships/hyperlink" Target="https://meteor.aihw.gov.au/content/629401" TargetMode="External" Id="R3d27a440c1cb4e13" /><Relationship Type="http://schemas.openxmlformats.org/officeDocument/2006/relationships/hyperlink" Target="https://meteor.aihw.gov.au/content/719380" TargetMode="External" Id="Rfad101abc29f48d9" /><Relationship Type="http://schemas.openxmlformats.org/officeDocument/2006/relationships/hyperlink" Target="https://meteor.aihw.gov.au/RegistrationAuthority/18" TargetMode="External" Id="Rb4f2c15ef3ea45bb" /><Relationship Type="http://schemas.openxmlformats.org/officeDocument/2006/relationships/hyperlink" Target="https://meteor.aihw.gov.au/content/588987" TargetMode="External" Id="R72e2b5392ae64f17" /><Relationship Type="http://schemas.openxmlformats.org/officeDocument/2006/relationships/hyperlink" Target="https://meteor.aihw.gov.au/content/588981" TargetMode="External" Id="R0e9bbed15bad41da" /><Relationship Type="http://schemas.openxmlformats.org/officeDocument/2006/relationships/hyperlink" Target="https://meteor.aihw.gov.au/content/589101" TargetMode="External" Id="Redba9eb2e2f9458c" /><Relationship Type="http://schemas.openxmlformats.org/officeDocument/2006/relationships/hyperlink" Target="https://meteor.aihw.gov.au/content/621789" TargetMode="External" Id="R50b4885c12cb4cf4" /><Relationship Type="http://schemas.openxmlformats.org/officeDocument/2006/relationships/hyperlink" Target="https://meteor.aihw.gov.au/content/359751" TargetMode="External" Id="R43ce5021e645449c" /><Relationship Type="http://schemas.openxmlformats.org/officeDocument/2006/relationships/hyperlink" Target="https://meteor.aihw.gov.au/content/621789" TargetMode="External" Id="Rd77c0305545b403f" /><Relationship Type="http://schemas.openxmlformats.org/officeDocument/2006/relationships/hyperlink" Target="https://meteor.aihw.gov.au/content/356870" TargetMode="External" Id="Rdacf286299dc4998" /><Relationship Type="http://schemas.openxmlformats.org/officeDocument/2006/relationships/hyperlink" Target="https://meteor.aihw.gov.au/content/621789" TargetMode="External" Id="R1430be1edcf748cd" /><Relationship Type="http://schemas.openxmlformats.org/officeDocument/2006/relationships/hyperlink" Target="https://meteor.aihw.gov.au/content/347222" TargetMode="External" Id="R9f2065b3327644e3" /></Relationships>
</file>

<file path=word/_rels/header1.xml.rels>&#65279;<?xml version="1.0" encoding="utf-8"?><Relationships xmlns="http://schemas.openxmlformats.org/package/2006/relationships"><Relationship Type="http://schemas.openxmlformats.org/officeDocument/2006/relationships/image" Target="/media/image.png" Id="R3744bf11751749fe" /></Relationships>
</file>