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60fd44023d47c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ba87bd4b648d4">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The proportion of students in Years 3, 5, 7 and 9 who achieved at or above the national minimum standard for reading, writing and numeracy.</w:t>
            </w:r>
          </w:p>
          <w:p>
            <w:pPr/>
            <w:r>
              <w:rPr>
                <w:rStyle w:val="row-content-rich-text"/>
              </w:rPr>
              <w:t xml:space="preserve">(b)   The proportion of students in Years 3, 5, 7 and 9 who participated (includes all assessed and exempt students) in national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'Halve the gap for Indigenous students in reading, writing and numeracy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3957e34e834ef1">
              <w:r>
                <w:rPr>
                  <w:rStyle w:val="Hyperlink"/>
                </w:rPr>
                <w:t xml:space="preserve">National Indigenous Reform Agreement (2020)</w:t>
              </w:r>
            </w:hyperlink>
          </w:p>
          <w:p>
            <w:pPr>
              <w:spacing w:before="0" w:after="0"/>
            </w:pPr>
            <w:r>
              <w:rPr>
                <w:rStyle w:val="row-content"/>
                <w:color w:val="244061"/>
              </w:rPr>
              <w:t xml:space="preserve">       </w:t>
            </w:r>
            <w:hyperlink w:history="true" r:id="R46a1004ea2fc4f42">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fb7510a6084976">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d7ea3a444447423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598206b326d4f6e">
              <w:r>
                <w:rPr>
                  <w:rStyle w:val="Hyperlink"/>
                </w:rPr>
                <w:t xml:space="preserve">National Indigenous Reform Agreement: PI 11—Percentage of students at or above the national minimum standard in reading, writing and numeracy for Years 3, 5, 7 and 9, 2020; Quality Statement</w:t>
              </w:r>
            </w:hyperlink>
          </w:p>
          <w:p>
            <w:pPr>
              <w:spacing w:before="0" w:after="0"/>
            </w:pPr>
            <w:r>
              <w:rPr>
                <w:rStyle w:val="row-content"/>
                <w:color w:val="244061"/>
              </w:rPr>
              <w:t xml:space="preserve">       </w:t>
            </w:r>
            <w:hyperlink w:history="true" r:id="R959b62a55e6f4511">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There is no discrete numerator and denominator for this measure. See National Assessment Program—Literacy and Numeracy (NAPLAN) reports (ACARA 2019)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Measure (b):</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Proportions are calculated using an interpolation process. They are not simply the numerator ÷ denominator as the computation is more complex than this. See NAPLAN reports (ACARA 2019) for more detail.</w:t>
            </w:r>
          </w:p>
          <w:p>
            <w:pPr>
              <w:spacing w:after="160"/>
            </w:pPr>
            <w:r>
              <w:rPr>
                <w:rStyle w:val="row-content-rich-text"/>
              </w:rPr>
              <w:t xml:space="preserve">Measure (b):</w:t>
            </w:r>
          </w:p>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w:t>
            </w:r>
          </w:p>
          <w:p>
            <w:pPr/>
            <w:r>
              <w:rPr>
                <w:rStyle w:val="row-content-rich-text"/>
              </w:rPr>
              <w:t xml:space="preserve">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numeracy.</w:t>
            </w:r>
          </w:p>
          <w:p>
            <w:r>
              <w:rPr>
                <w:rStyle w:val="row-content"/>
              </w:rPr>
              <w:t xml:space="preserve"> </w:t>
            </w:r>
          </w:p>
          <w:p>
            <w:r>
              <w:rPr>
                <w:rStyle w:val="row-content"/>
                <w:b/>
              </w:rPr>
              <w:t xml:space="preserve">Data Source</w:t>
            </w:r>
          </w:p>
          <w:p>
            <w:hyperlink w:history="true" r:id="Rfe7ce5480613472f">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reading.</w:t>
            </w:r>
          </w:p>
          <w:p>
            <w:r>
              <w:rPr>
                <w:rStyle w:val="row-content"/>
              </w:rPr>
              <w:t xml:space="preserve"> </w:t>
            </w:r>
          </w:p>
          <w:p>
            <w:r>
              <w:rPr>
                <w:rStyle w:val="row-content"/>
                <w:b/>
              </w:rPr>
              <w:t xml:space="preserve">Data Source</w:t>
            </w:r>
          </w:p>
          <w:p>
            <w:hyperlink w:history="true" r:id="R5a40a54e22d4480d">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writing.</w:t>
            </w:r>
          </w:p>
          <w:p>
            <w:r>
              <w:rPr>
                <w:rStyle w:val="row-content"/>
              </w:rPr>
              <w:t xml:space="preserve"> </w:t>
            </w:r>
          </w:p>
          <w:p>
            <w:r>
              <w:rPr>
                <w:rStyle w:val="row-content"/>
                <w:b/>
              </w:rPr>
              <w:t xml:space="preserve">Data Source</w:t>
            </w:r>
          </w:p>
          <w:p>
            <w:hyperlink w:history="true" r:id="Rff9644895bee4dbf">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exempt students.</w:t>
            </w:r>
          </w:p>
          <w:p>
            <w:r>
              <w:rPr>
                <w:rStyle w:val="row-content"/>
              </w:rPr>
              <w:t xml:space="preserve"> </w:t>
            </w:r>
          </w:p>
          <w:p>
            <w:r>
              <w:rPr>
                <w:rStyle w:val="row-content"/>
                <w:b/>
              </w:rPr>
              <w:t xml:space="preserve">Data Source</w:t>
            </w:r>
          </w:p>
          <w:p>
            <w:hyperlink w:history="true" r:id="R604e75eeb30d4ccd">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assessed.</w:t>
            </w:r>
          </w:p>
          <w:p>
            <w:r>
              <w:rPr>
                <w:rStyle w:val="row-content"/>
              </w:rPr>
              <w:t xml:space="preserve"> </w:t>
            </w:r>
          </w:p>
          <w:p>
            <w:r>
              <w:rPr>
                <w:rStyle w:val="row-content"/>
                <w:b/>
              </w:rPr>
              <w:t xml:space="preserve">Data Source</w:t>
            </w:r>
          </w:p>
          <w:p>
            <w:hyperlink w:history="true" r:id="Rb177fa4a60b54ba8">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numeracy test.</w:t>
            </w:r>
          </w:p>
          <w:p>
            <w:r>
              <w:rPr>
                <w:rStyle w:val="row-content"/>
              </w:rPr>
              <w:t xml:space="preserve"> </w:t>
            </w:r>
          </w:p>
          <w:p>
            <w:r>
              <w:rPr>
                <w:rStyle w:val="row-content"/>
                <w:b/>
              </w:rPr>
              <w:t xml:space="preserve">Data Source</w:t>
            </w:r>
          </w:p>
          <w:p>
            <w:hyperlink w:history="true" r:id="Re78a60cd9ede48d6">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reading test.</w:t>
            </w:r>
          </w:p>
          <w:p>
            <w:r>
              <w:rPr>
                <w:rStyle w:val="row-content"/>
              </w:rPr>
              <w:t xml:space="preserve"> </w:t>
            </w:r>
          </w:p>
          <w:p>
            <w:r>
              <w:rPr>
                <w:rStyle w:val="row-content"/>
                <w:b/>
              </w:rPr>
              <w:t xml:space="preserve">Data Source</w:t>
            </w:r>
          </w:p>
          <w:p>
            <w:hyperlink w:history="true" r:id="R50256b74be7d4544">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writing test.</w:t>
            </w:r>
          </w:p>
          <w:p>
            <w:r>
              <w:rPr>
                <w:rStyle w:val="row-content"/>
              </w:rPr>
              <w:t xml:space="preserve"> </w:t>
            </w:r>
          </w:p>
          <w:p>
            <w:r>
              <w:rPr>
                <w:rStyle w:val="row-content"/>
                <w:b/>
              </w:rPr>
              <w:t xml:space="preserve">Data Source</w:t>
            </w:r>
          </w:p>
          <w:p>
            <w:hyperlink w:history="true" r:id="R77bc12f3a44c4eb8">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be362b9b22fd4a2f">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57fbbccf42594763">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and (b):</w:t>
            </w:r>
          </w:p>
          <w:p>
            <w:pPr>
              <w:spacing w:after="160"/>
            </w:pPr>
            <w:r>
              <w:rPr>
                <w:rStyle w:val="row-content-rich-text"/>
              </w:rPr>
              <w:t xml:space="preserve">For each Year level (Years 3, 5, 7 and 9— reported individually) by learning domain (reading, writing and numeracy— reported individually): National and state/territory by Indigenous status, by geo-location.</w:t>
            </w:r>
          </w:p>
          <w:p>
            <w:pPr>
              <w:spacing w:after="160"/>
            </w:pPr>
            <w:r>
              <w:rPr>
                <w:rStyle w:val="row-content-rich-text"/>
              </w:rPr>
              <w:t xml:space="preserve">Measure (b):</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f1e1ab228774d06">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5bd1855698249e2">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are for two years: 2018 and 2019.</w:t>
            </w:r>
          </w:p>
          <w:p>
            <w:pPr>
              <w:spacing w:after="160"/>
            </w:pPr>
            <w:r>
              <w:rPr>
                <w:rStyle w:val="row-content-rich-text"/>
              </w:rPr>
              <w:t xml:space="preserve">For pre-2016 data, geo-location was determined based on the Ministerial Council for Education, Early Childhood Development and Youth Affairs (MCEECDYA) geographical location classification. For data between 2016 and 2018, geo-location is determined based on the Australian Bureau of Statistics Australian Statistical Geography Standard (ASGS) 2011 and reported for the 5 remoteness categories, resulting in a break in time-series from the pre-2016 data. For data from 2019, geo-location is determined based on the ASGS 2016.</w:t>
            </w:r>
          </w:p>
          <w:p>
            <w:pPr>
              <w:spacing w:after="160"/>
            </w:pPr>
            <w:r>
              <w:rPr>
                <w:rStyle w:val="row-content-rich-text"/>
              </w:rPr>
              <w:t xml:space="preserve">Participation rates disaggregated by state/territory were reported for Indigenous students and all students in the (2008–09) baseline Council of Australian Governments (COAG) Reform Council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spacing w:after="160"/>
            </w:pPr>
            <w:r>
              <w:rPr>
                <w:rStyle w:val="row-content-rich-text"/>
              </w:rPr>
              <w:t xml:space="preserve">Baseline year for the COAG Closing the Gap target (Halve the gap for Indigenous students in reading, writing and numeracy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b1c03716514ed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27b6391e41454a">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8d61834f9b428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2019. </w:t>
            </w:r>
            <w:r>
              <w:rPr>
                <w:rStyle w:val="row-content-rich-text"/>
              </w:rPr>
              <w:t xml:space="preserve">National Assessment Program, National Report for 2018</w:t>
            </w:r>
            <w:r>
              <w:rPr>
                <w:rStyle w:val="row-content-rich-text"/>
              </w:rPr>
              <w:t xml:space="preserve">. Sydney: ACARA. Viewed 26 July 2019, </w:t>
            </w:r>
            <w:hyperlink w:history="true" r:id="R7d99f79ecaf646bd">
              <w:r>
                <w:rPr>
                  <w:rStyle w:val="Hyperlink"/>
                </w:rPr>
                <w:t xml:space="preserve">http://www.nap.edu.au/results-and-reports/national-reports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3a36e0e2d34260">
              <w:r>
                <w:rPr>
                  <w:rStyle w:val="Hyperlink"/>
                </w:rPr>
                <w:t xml:space="preserve">National Indigenous Reform Agreement: PI 11-Percentage of students at or above the national minimum standard in reading, writing and numeracy for Years 3, 5, 7 and 9, 2019</w:t>
              </w:r>
            </w:hyperlink>
          </w:p>
          <w:p>
            <w:pPr>
              <w:spacing w:before="0" w:after="0"/>
            </w:pPr>
            <w:r>
              <w:rPr>
                <w:rStyle w:val="row-content"/>
                <w:color w:val="244061"/>
              </w:rPr>
              <w:t xml:space="preserve">       </w:t>
            </w:r>
            <w:hyperlink w:history="true" r:id="Rc885a12306794e6e">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9ca2a72b29ea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2ade7a4ac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2a72b29ea4e0e" /><Relationship Type="http://schemas.openxmlformats.org/officeDocument/2006/relationships/header" Target="/word/header1.xml" Id="R1acc8a7349b24422" /><Relationship Type="http://schemas.openxmlformats.org/officeDocument/2006/relationships/settings" Target="/word/settings.xml" Id="Re463cad2188b4e7f" /><Relationship Type="http://schemas.openxmlformats.org/officeDocument/2006/relationships/styles" Target="/word/styles.xml" Id="R03542281bda745d7" /><Relationship Type="http://schemas.openxmlformats.org/officeDocument/2006/relationships/hyperlink" Target="https://meteor.aihw.gov.au/RegistrationAuthority/6" TargetMode="External" Id="Rd60ba87bd4b648d4" /><Relationship Type="http://schemas.openxmlformats.org/officeDocument/2006/relationships/hyperlink" Target="https://meteor.aihw.gov.au/content/718468" TargetMode="External" Id="Re53957e34e834ef1" /><Relationship Type="http://schemas.openxmlformats.org/officeDocument/2006/relationships/hyperlink" Target="https://meteor.aihw.gov.au/RegistrationAuthority/6" TargetMode="External" Id="R46a1004ea2fc4f42" /><Relationship Type="http://schemas.openxmlformats.org/officeDocument/2006/relationships/hyperlink" Target="https://meteor.aihw.gov.au/content/396169" TargetMode="External" Id="R03fb7510a6084976" /><Relationship Type="http://schemas.openxmlformats.org/officeDocument/2006/relationships/hyperlink" Target="https://meteor.aihw.gov.au/RegistrationAuthority/6" TargetMode="External" Id="Rd7ea3a444447423f" /><Relationship Type="http://schemas.openxmlformats.org/officeDocument/2006/relationships/hyperlink" Target="https://meteor.aihw.gov.au/content/726266" TargetMode="External" Id="R5598206b326d4f6e" /><Relationship Type="http://schemas.openxmlformats.org/officeDocument/2006/relationships/hyperlink" Target="https://meteor.aihw.gov.au/RegistrationAuthority/6" TargetMode="External" Id="R959b62a55e6f4511" /><Relationship Type="http://schemas.openxmlformats.org/officeDocument/2006/relationships/hyperlink" Target="https://meteor.aihw.gov.au/content/458253" TargetMode="External" Id="Rfe7ce5480613472f" /><Relationship Type="http://schemas.openxmlformats.org/officeDocument/2006/relationships/hyperlink" Target="https://meteor.aihw.gov.au/content/458253" TargetMode="External" Id="R5a40a54e22d4480d" /><Relationship Type="http://schemas.openxmlformats.org/officeDocument/2006/relationships/hyperlink" Target="https://meteor.aihw.gov.au/content/458253" TargetMode="External" Id="Rff9644895bee4dbf" /><Relationship Type="http://schemas.openxmlformats.org/officeDocument/2006/relationships/hyperlink" Target="https://meteor.aihw.gov.au/content/458253" TargetMode="External" Id="R604e75eeb30d4ccd" /><Relationship Type="http://schemas.openxmlformats.org/officeDocument/2006/relationships/hyperlink" Target="https://meteor.aihw.gov.au/content/458253" TargetMode="External" Id="Rb177fa4a60b54ba8" /><Relationship Type="http://schemas.openxmlformats.org/officeDocument/2006/relationships/hyperlink" Target="https://meteor.aihw.gov.au/content/458253" TargetMode="External" Id="Re78a60cd9ede48d6" /><Relationship Type="http://schemas.openxmlformats.org/officeDocument/2006/relationships/hyperlink" Target="https://meteor.aihw.gov.au/content/458253" TargetMode="External" Id="R50256b74be7d4544" /><Relationship Type="http://schemas.openxmlformats.org/officeDocument/2006/relationships/hyperlink" Target="https://meteor.aihw.gov.au/content/458253" TargetMode="External" Id="R77bc12f3a44c4eb8" /><Relationship Type="http://schemas.openxmlformats.org/officeDocument/2006/relationships/hyperlink" Target="https://meteor.aihw.gov.au/content/458253" TargetMode="External" Id="Rbe362b9b22fd4a2f" /><Relationship Type="http://schemas.openxmlformats.org/officeDocument/2006/relationships/hyperlink" Target="https://meteor.aihw.gov.au/content/458253" TargetMode="External" Id="R57fbbccf42594763" /><Relationship Type="http://schemas.openxmlformats.org/officeDocument/2006/relationships/hyperlink" Target="https://meteor.aihw.gov.au/content/458253" TargetMode="External" Id="R4f1e1ab228774d06" /><Relationship Type="http://schemas.openxmlformats.org/officeDocument/2006/relationships/hyperlink" Target="https://meteor.aihw.gov.au/content/458253" TargetMode="External" Id="R15bd1855698249e2" /><Relationship Type="http://schemas.openxmlformats.org/officeDocument/2006/relationships/hyperlink" Target="https://meteor.aihw.gov.au/content/410674" TargetMode="External" Id="R1fb1c03716514ede" /><Relationship Type="http://schemas.openxmlformats.org/officeDocument/2006/relationships/hyperlink" Target="https://meteor.aihw.gov.au/content/458253" TargetMode="External" Id="R3627b6391e41454a" /><Relationship Type="http://schemas.openxmlformats.org/officeDocument/2006/relationships/hyperlink" Target="https://meteor.aihw.gov.au/content/410271" TargetMode="External" Id="R4c8d61834f9b4283" /><Relationship Type="http://schemas.openxmlformats.org/officeDocument/2006/relationships/hyperlink" Target="http://www.nap.edu.au/results-and-reports/national-reports" TargetMode="External" Id="R7d99f79ecaf646bd" /><Relationship Type="http://schemas.openxmlformats.org/officeDocument/2006/relationships/hyperlink" Target="https://meteor.aihw.gov.au/content/699462" TargetMode="External" Id="R633a36e0e2d34260" /><Relationship Type="http://schemas.openxmlformats.org/officeDocument/2006/relationships/hyperlink" Target="https://meteor.aihw.gov.au/RegistrationAuthority/6" TargetMode="External" Id="Rc885a12306794e6e" /></Relationships>
</file>

<file path=word/_rels/header1.xml.rels>&#65279;<?xml version="1.0" encoding="utf-8"?><Relationships xmlns="http://schemas.openxmlformats.org/package/2006/relationships"><Relationship Type="http://schemas.openxmlformats.org/officeDocument/2006/relationships/image" Target="/media/image.png" Id="Rde02ade7a4ac47cd" /></Relationships>
</file>