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89cc839754d58"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total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acabfe46c4b36">
              <w:r>
                <w:rPr>
                  <w:rStyle w:val="Hyperlink"/>
                  <w:color w:val="244061"/>
                </w:rPr>
                <w:t xml:space="preserve">Tasmanian Health</w:t>
              </w:r>
            </w:hyperlink>
            <w:r>
              <w:rPr>
                <w:rStyle w:val="row-content"/>
                <w:color w:val="244061"/>
              </w:rPr>
              <w:t xml:space="preserve">, Standard 06/05/2020</w:t>
            </w:r>
          </w:p>
          <w:p>
            <w:pPr>
              <w:spacing w:before="0" w:after="0"/>
            </w:pPr>
            <w:hyperlink w:history="true" r:id="R5ab3d24d2d84410a">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c3dbdb12d11141cd">
              <w:r>
                <w:rPr>
                  <w:rStyle w:val="Hyperlink"/>
                  <w:b/>
                </w:rPr>
                <w:t xml:space="preserve">Resource Utilisation Groups - Activities of Daily Living</w:t>
              </w:r>
            </w:hyperlink>
            <w:r>
              <w:rPr>
                <w:rStyle w:val="row-content-rich-text"/>
              </w:rPr>
              <w:t xml:space="preserve"> (RUG-ADL) is a four item scale measuring a person's motor function for activities of daily living including:</w:t>
            </w:r>
            <w:r>
              <w:br/>
            </w:r>
            <w:r>
              <w:rPr>
                <w:rStyle w:val="row-content-rich-text"/>
              </w:rPr>
              <w:t xml:space="preserve">• bed mobility</w:t>
            </w:r>
            <w:r>
              <w:br/>
            </w:r>
            <w:r>
              <w:rPr>
                <w:rStyle w:val="row-content-rich-text"/>
              </w:rPr>
              <w:t xml:space="preserve">• toileting</w:t>
            </w:r>
            <w:r>
              <w:br/>
            </w:r>
            <w:r>
              <w:rPr>
                <w:rStyle w:val="row-content-rich-text"/>
              </w:rPr>
              <w:t xml:space="preserve">• transfers</w:t>
            </w:r>
            <w:r>
              <w:br/>
            </w:r>
            <w:r>
              <w:rPr>
                <w:rStyle w:val="row-content-rich-text"/>
              </w:rPr>
              <w:t xml:space="preserve">• eating.</w:t>
            </w:r>
          </w:p>
          <w:p>
            <w:pPr>
              <w:spacing w:after="160"/>
            </w:pPr>
            <w:r>
              <w:rPr>
                <w:rStyle w:val="row-content-rich-text"/>
              </w:rPr>
              <w:t xml:space="preserve">Valid values for the </w:t>
            </w:r>
            <w:r>
              <w:rPr>
                <w:rStyle w:val="row-content-rich-text"/>
                <w:b/>
              </w:rPr>
              <w:t xml:space="preserve">bed mobility</w:t>
            </w:r>
            <w:r>
              <w:rPr>
                <w:rStyle w:val="row-content-rich-text"/>
              </w:rPr>
              <w:t xml:space="preserve">, </w:t>
            </w:r>
            <w:r>
              <w:rPr>
                <w:rStyle w:val="row-content-rich-text"/>
                <w:b/>
              </w:rPr>
              <w:t xml:space="preserve">toileting </w:t>
            </w:r>
            <w:r>
              <w:rPr>
                <w:rStyle w:val="row-content-rich-text"/>
              </w:rPr>
              <w:t xml:space="preserve">and </w:t>
            </w:r>
            <w:r>
              <w:rPr>
                <w:rStyle w:val="row-content-rich-text"/>
                <w:b/>
              </w:rPr>
              <w:t xml:space="preserve">transfers </w:t>
            </w:r>
            <w:r>
              <w:rPr>
                <w:rStyle w:val="row-content-rich-text"/>
              </w:rPr>
              <w:t xml:space="preserve">item scales: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i/>
              </w:rPr>
              <w:t xml:space="preserve">  Note: a score of 2 is not valid.</w:t>
            </w:r>
          </w:p>
          <w:p>
            <w:pPr>
              <w:spacing w:after="160"/>
            </w:pPr>
            <w:r>
              <w:rPr>
                <w:rStyle w:val="row-content-rich-text"/>
              </w:rPr>
              <w:t xml:space="preserve">Valid values for the </w:t>
            </w:r>
            <w:r>
              <w:rPr>
                <w:rStyle w:val="row-content-rich-text"/>
                <w:b/>
              </w:rPr>
              <w:t xml:space="preserve">eating </w:t>
            </w:r>
            <w:r>
              <w:rPr>
                <w:rStyle w:val="row-content-rich-text"/>
              </w:rPr>
              <w:t xml:space="preserve">item scale:</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i/>
              </w:rPr>
              <w:t xml:space="preserve">  Note: a score of 4 or 5 is not valid.</w:t>
            </w:r>
          </w:p>
          <w:p>
            <w:pPr>
              <w:spacing w:after="160"/>
            </w:pPr>
            <w:r>
              <w:rPr>
                <w:rStyle w:val="row-content-rich-text"/>
              </w:rPr>
              <w:t xml:space="preserve">Scores are summed for the four Activities of Daily Living (ADL) variables (i.e. bed mobility, toileting, transfers and eating) to reach a total RUG-ADL score. A total RUG-ADL score ranges from a minimum score of 4 to a maximum score of 18.</w:t>
            </w:r>
          </w:p>
          <w:p>
            <w:pPr>
              <w:spacing w:after="160"/>
            </w:pPr>
            <w:r>
              <w:rPr>
                <w:rStyle w:val="row-content-rich-text"/>
              </w:rPr>
              <w:t xml:space="preserve">The RUG-ADL </w:t>
            </w:r>
            <w:r>
              <w:rPr>
                <w:rStyle w:val="row-content-rich-text"/>
                <w:i/>
              </w:rPr>
              <w:t xml:space="preserve">total </w:t>
            </w:r>
            <w:r>
              <w:rPr>
                <w:rStyle w:val="row-content-rich-text"/>
              </w:rPr>
              <w:t xml:space="preserve">score code is different from the </w:t>
            </w:r>
            <w:hyperlink w:history="true" r:id="Rbc3acbd0f0a04d07">
              <w:r>
                <w:rPr>
                  <w:rStyle w:val="Hyperlink"/>
                </w:rPr>
                <w:t xml:space="preserve">Resource Utilisation Groups–Activities of Daily Living score code N</w:t>
              </w:r>
            </w:hyperlink>
            <w:r>
              <w:rPr>
                <w:rStyle w:val="row-content-rich-text"/>
              </w:rPr>
              <w:t xml:space="preserve"> as it represents the total of all the individual RUG-ADL item scores added together.</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should be used in circumstances where the RUG-ADL total score code can not be reported due to one or more item scales not being collected. This code is not to be used on RUG-ADL data collection forms.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a133e8a1874b98">
              <w:r>
                <w:rPr>
                  <w:rStyle w:val="Hyperlink"/>
                </w:rPr>
                <w:t xml:space="preserve">Resource Utilisation Groups–Activities of Daily Living total score code N[N]</w:t>
              </w:r>
            </w:hyperlink>
          </w:p>
          <w:p>
            <w:pPr>
              <w:pStyle w:val="registration-status"/>
              <w:spacing w:before="0" w:after="0"/>
            </w:pPr>
            <w:hyperlink w:history="true" r:id="R48337f7c46dd48ed">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df66ac125bd14b3b">
              <w:r>
                <w:rPr>
                  <w:rStyle w:val="Hyperlink"/>
                </w:rPr>
                <w:t xml:space="preserve">Resource Utilisation Groups–Activities of Daily Living total score code N[N]</w:t>
              </w:r>
            </w:hyperlink>
          </w:p>
          <w:p>
            <w:pPr>
              <w:pStyle w:val="registration-status"/>
              <w:spacing w:before="0" w:after="0"/>
            </w:pPr>
            <w:hyperlink w:history="true" r:id="R8bf90b5f0fdf4fa8">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b8be9b53ad494aa1">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eac8ff4b4725419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b667b00a51414c">
              <w:r>
                <w:rPr>
                  <w:rStyle w:val="Hyperlink"/>
                </w:rPr>
                <w:t xml:space="preserve">Person—level of functional independence, Resource Utilisation Groups–Activities of Daily Living total score code N[N]</w:t>
              </w:r>
            </w:hyperlink>
          </w:p>
          <w:p>
            <w:pPr>
              <w:pStyle w:val="registration-status"/>
              <w:spacing w:before="0" w:after="0"/>
            </w:pPr>
            <w:hyperlink w:history="true" r:id="Rc5c886644b0a4926">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481842d720c64757">
              <w:r>
                <w:rPr>
                  <w:rStyle w:val="Hyperlink"/>
                  <w:color w:val="244061"/>
                </w:rPr>
                <w:t xml:space="preserve">Tasmanian Health</w:t>
              </w:r>
            </w:hyperlink>
            <w:r>
              <w:rPr>
                <w:rStyle w:val="row-content"/>
                <w:color w:val="244061"/>
              </w:rPr>
              <w:t xml:space="preserve">, Superseded 28/03/2023</w:t>
            </w:r>
          </w:p>
          <w:p>
            <w:r>
              <w:br/>
            </w:r>
          </w:p>
        </w:tc>
      </w:tr>
    </w:tbl>
    <w:p>
      <w:r>
        <w:br/>
      </w:r>
    </w:p>
    <w:sectPr>
      <w:footerReference xmlns:r="http://schemas.openxmlformats.org/officeDocument/2006/relationships" w:type="default" r:id="R318f7423da77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717984</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970945dff4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f7423da774361" /><Relationship Type="http://schemas.openxmlformats.org/officeDocument/2006/relationships/header" Target="/word/header1.xml" Id="R002c8753cecf4f74" /><Relationship Type="http://schemas.openxmlformats.org/officeDocument/2006/relationships/settings" Target="/word/settings.xml" Id="R1c9c6dcf3e344ecd" /><Relationship Type="http://schemas.openxmlformats.org/officeDocument/2006/relationships/styles" Target="/word/styles.xml" Id="R81fdf04b1c3740ca" /><Relationship Type="http://schemas.openxmlformats.org/officeDocument/2006/relationships/hyperlink" Target="https://meteor.aihw.gov.au/RegistrationAuthority/15" TargetMode="External" Id="R351acabfe46c4b36" /><Relationship Type="http://schemas.openxmlformats.org/officeDocument/2006/relationships/hyperlink" Target="https://meteor.aihw.gov.au/RegistrationAuthority/12" TargetMode="External" Id="R5ab3d24d2d84410a" /><Relationship Type="http://schemas.openxmlformats.org/officeDocument/2006/relationships/hyperlink" Target="https://meteor.aihw.gov.au/content/495909" TargetMode="External" Id="Rc3dbdb12d11141cd" /><Relationship Type="http://schemas.openxmlformats.org/officeDocument/2006/relationships/hyperlink" Target="https://meteor.aihw.gov.au/content/717780" TargetMode="External" Id="Rbc3acbd0f0a04d07" /><Relationship Type="http://schemas.openxmlformats.org/officeDocument/2006/relationships/hyperlink" Target="https://meteor.aihw.gov.au/content/699572" TargetMode="External" Id="Reca133e8a1874b98" /><Relationship Type="http://schemas.openxmlformats.org/officeDocument/2006/relationships/hyperlink" Target="https://meteor.aihw.gov.au/RegistrationAuthority/12" TargetMode="External" Id="R48337f7c46dd48ed" /><Relationship Type="http://schemas.openxmlformats.org/officeDocument/2006/relationships/hyperlink" Target="https://meteor.aihw.gov.au/content/764207" TargetMode="External" Id="Rdf66ac125bd14b3b" /><Relationship Type="http://schemas.openxmlformats.org/officeDocument/2006/relationships/hyperlink" Target="https://meteor.aihw.gov.au/RegistrationAuthority/12" TargetMode="External" Id="R8bf90b5f0fdf4fa8" /><Relationship Type="http://schemas.openxmlformats.org/officeDocument/2006/relationships/hyperlink" Target="https://meteor.aihw.gov.au/content/676194" TargetMode="External" Id="Rb8be9b53ad494aa1" /><Relationship Type="http://schemas.openxmlformats.org/officeDocument/2006/relationships/hyperlink" Target="https://meteor.aihw.gov.au/RegistrationAuthority/12" TargetMode="External" Id="Reac8ff4b47254196" /><Relationship Type="http://schemas.openxmlformats.org/officeDocument/2006/relationships/hyperlink" Target="https://meteor.aihw.gov.au/content/717986" TargetMode="External" Id="Rdab667b00a51414c" /><Relationship Type="http://schemas.openxmlformats.org/officeDocument/2006/relationships/hyperlink" Target="https://meteor.aihw.gov.au/RegistrationAuthority/12" TargetMode="External" Id="Rc5c886644b0a4926" /><Relationship Type="http://schemas.openxmlformats.org/officeDocument/2006/relationships/hyperlink" Target="https://meteor.aihw.gov.au/RegistrationAuthority/15" TargetMode="External" Id="R481842d720c64757" /></Relationships>
</file>

<file path=word/_rels/header1.xml.rels>&#65279;<?xml version="1.0" encoding="utf-8"?><Relationships xmlns="http://schemas.openxmlformats.org/package/2006/relationships"><Relationship Type="http://schemas.openxmlformats.org/officeDocument/2006/relationships/image" Target="/media/image.png" Id="R4d970945dff44f33" /></Relationships>
</file>