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2c66750c6c4c5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birthweight,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birthweight,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ffa0c2484c4b11">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the National Perinatal Data Collection (NPDC), which is a national population-based cross-sectional data collection of pregnancy and childbirth.</w:t>
            </w:r>
          </w:p>
          <w:p>
            <w:pPr>
              <w:spacing w:after="160"/>
            </w:pPr>
            <w:r>
              <w:rPr>
                <w:rStyle w:val="row-content-rich-text"/>
              </w:rPr>
              <w:t xml:space="preserve">Data supplied for the NPDC consist of the Perinatal National Minimum Data Set (NMDS), as well as a series of additional data items. The Perinatal NMDS is an agreed set of standardised perinatal data elements for mandatory supply by states and territories to support national reporting.</w:t>
            </w:r>
          </w:p>
          <w:p>
            <w:pPr>
              <w:spacing w:after="160"/>
            </w:pPr>
            <w:r>
              <w:rPr>
                <w:rStyle w:val="row-content-rich-text"/>
              </w:rPr>
              <w:t xml:space="preserve">This measure excludes multiple births, stillbirths and births of less than 20 weeks gestation. This measure may therefore differ slightly from information presented in other publications on low birthweight.</w:t>
            </w:r>
          </w:p>
          <w:p>
            <w:pPr>
              <w:spacing w:after="160"/>
            </w:pPr>
            <w:r>
              <w:rPr>
                <w:rStyle w:val="row-content-rich-text"/>
              </w:rPr>
              <w:t xml:space="preserve">The Perinatal NMDS includes a standardised data element on birthweight and data were complete for over 99.9% of babies in 2016.</w:t>
            </w:r>
          </w:p>
          <w:p>
            <w:pPr>
              <w:spacing w:after="160"/>
            </w:pPr>
            <w:r>
              <w:rPr>
                <w:rStyle w:val="row-content-rich-text"/>
              </w:rPr>
              <w:t xml:space="preserve">The NPDC includes information on the Indigenous status of the mother and baby. Since 2005, all jurisdictions have collected information on Indigenous status of the mother in accordance with the Perinatal NMDS. Indigenous status of the baby was added to the Perinatal NMDS from July 2012.</w:t>
            </w:r>
          </w:p>
          <w:p>
            <w:pPr>
              <w:spacing w:after="160"/>
            </w:pPr>
            <w:r>
              <w:rPr>
                <w:rStyle w:val="row-content-rich-text"/>
              </w:rPr>
              <w:t xml:space="preserve">In 2016, 0.3% of mothers who gave birth and 1.1% of babies born had missing information on Indigenous status.</w:t>
            </w:r>
          </w:p>
          <w:p>
            <w:pPr/>
            <w:r>
              <w:rPr>
                <w:rStyle w:val="row-content-rich-text"/>
              </w:rPr>
              <w:t xml:space="preserve">Remoteness data for 2012 and subsequent years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Australian Institute of Health and Welfare (AIHW). The AIHW is a major national agency set up by the Australian Government under the </w:t>
            </w:r>
            <w:r>
              <w:rPr>
                <w:rStyle w:val="row-content-rich-text"/>
                <w:i/>
              </w:rPr>
              <w:t xml:space="preserve">Australian Institute of Health and Welfare Act 1987 </w:t>
            </w:r>
            <w:r>
              <w:rPr>
                <w:rStyle w:val="row-content-rich-text"/>
              </w:rPr>
              <w:t xml:space="preserve">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w:t>
            </w:r>
            <w:hyperlink w:history="true" r:id="R630a8bc97aca4a0c">
              <w:r>
                <w:rPr>
                  <w:rStyle w:val="Hyperlink"/>
                </w:rPr>
                <w:t xml:space="preserve">AIHW website</w:t>
              </w:r>
            </w:hyperlink>
            <w:r>
              <w:rPr>
                <w:rStyle w:val="row-content-rich-text"/>
              </w:rPr>
              <w:t xml:space="preserve">.</w:t>
            </w:r>
          </w:p>
          <w:p>
            <w:pPr/>
            <w:r>
              <w:rPr>
                <w:rStyle w:val="row-content-rich-text"/>
              </w:rPr>
              <w:t xml:space="preserve">Data collected for the NPDC were supplied to the AIHW by state and territory health authorities.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data is the calendar year 2016, and 2014–2016 for the aggregate 3-year period.</w:t>
            </w:r>
          </w:p>
          <w:p>
            <w:pPr/>
            <w:r>
              <w:rPr>
                <w:rStyle w:val="row-content-rich-text"/>
              </w:rPr>
              <w:t xml:space="preserve">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ebdc69bd5e654d30">
              <w:r>
                <w:rPr>
                  <w:rStyle w:val="Hyperlink"/>
                  <w:i/>
                </w:rPr>
                <w:t xml:space="preserve">Australia’s mothers and babies </w:t>
              </w:r>
              <w:r>
                <w:rPr>
                  <w:rStyle w:val="row-content-rich-text"/>
                </w:rPr>
                <w:t xml:space="preserve">annual report</w:t>
              </w:r>
            </w:hyperlink>
            <w:r>
              <w:rPr>
                <w:rStyle w:val="row-content-rich-text"/>
              </w:rPr>
              <w:t xml:space="preserve"> (e.g. AIHW 2018)</w:t>
            </w:r>
          </w:p>
          <w:p>
            <w:pPr>
              <w:pStyle w:val="ListParagraph"/>
              <w:numPr>
                <w:ilvl w:val="0"/>
                <w:numId w:val="2"/>
              </w:numPr>
            </w:pPr>
            <w:hyperlink w:history="true" r:id="Rf66db2f190ae4617">
              <w:r>
                <w:rPr>
                  <w:rStyle w:val="Hyperlink"/>
                </w:rPr>
                <w:t xml:space="preserve">perinatal data visualisations</w:t>
              </w:r>
            </w:hyperlink>
          </w:p>
          <w:p>
            <w:pPr>
              <w:pStyle w:val="ListParagraph"/>
              <w:numPr>
                <w:ilvl w:val="0"/>
                <w:numId w:val="2"/>
              </w:numPr>
            </w:pPr>
            <w:r>
              <w:rPr>
                <w:rStyle w:val="row-content-rich-text"/>
              </w:rPr>
              <w:t xml:space="preserve">National Core Maternity Indicators </w:t>
            </w:r>
            <w:hyperlink w:history="true" r:id="Rfe24db625b4e48d8">
              <w:r>
                <w:rPr>
                  <w:rStyle w:val="Hyperlink"/>
                </w:rPr>
                <w:t xml:space="preserve">reports</w:t>
              </w:r>
            </w:hyperlink>
            <w:r>
              <w:rPr>
                <w:rStyle w:val="row-content-rich-text"/>
              </w:rPr>
              <w:t xml:space="preserve">and </w:t>
            </w:r>
            <w:hyperlink w:history="true" r:id="R6211962f18cf4922">
              <w:r>
                <w:rPr>
                  <w:rStyle w:val="Hyperlink"/>
                </w:rPr>
                <w:t xml:space="preserve">data visualisations</w:t>
              </w:r>
            </w:hyperlink>
            <w:r>
              <w:rPr>
                <w:rStyle w:val="row-content-rich-text"/>
              </w:rPr>
              <w:t xml:space="preserve">.</w:t>
            </w:r>
          </w:p>
          <w:p>
            <w:pPr>
              <w:spacing w:after="160"/>
            </w:pPr>
            <w:r>
              <w:rPr>
                <w:rStyle w:val="row-content-rich-text"/>
              </w:rPr>
              <w:t xml:space="preserve">Ad hoc data are also available from the AIHW on request (charges apply to recover costs).</w:t>
            </w:r>
          </w:p>
          <w:p>
            <w:pPr/>
            <w:r>
              <w:rPr>
                <w:rStyle w:val="row-content-rich-text"/>
              </w:rPr>
              <w:t xml:space="preserve">Data for this indicator are published in a number of reports, including annually in </w:t>
            </w:r>
            <w:r>
              <w:rPr>
                <w:rStyle w:val="row-content-rich-text"/>
                <w:i/>
              </w:rPr>
              <w:t xml:space="preserve">the National Indigenous Reform Agreement </w:t>
            </w:r>
            <w:r>
              <w:rPr>
                <w:rStyle w:val="row-content-rich-text"/>
              </w:rPr>
              <w:t xml:space="preserve">and </w:t>
            </w:r>
            <w:r>
              <w:rPr>
                <w:rStyle w:val="row-content-rich-text"/>
                <w:i/>
              </w:rPr>
              <w:t xml:space="preserve">National Healthcare Agreement </w:t>
            </w:r>
            <w:r>
              <w:rPr>
                <w:rStyle w:val="row-content-rich-text"/>
              </w:rPr>
              <w:t xml:space="preserve">performance information reports (which are available on the </w:t>
            </w:r>
            <w:hyperlink w:history="true" r:id="R04784371595147ad">
              <w:r>
                <w:rPr>
                  <w:rStyle w:val="Hyperlink"/>
                </w:rPr>
                <w:t xml:space="preserve">Productivity Commission website</w:t>
              </w:r>
            </w:hyperlink>
            <w:r>
              <w:rPr>
                <w:rStyle w:val="row-content-rich-text"/>
              </w:rPr>
              <w:t xml:space="preserve">) and the </w:t>
            </w:r>
            <w:hyperlink w:history="true" r:id="R3884128cc1c24a5f">
              <w:r>
                <w:rPr>
                  <w:rStyle w:val="Hyperlink"/>
                </w:rPr>
                <w:t xml:space="preserve">Australia’s mothers and babies</w:t>
              </w:r>
            </w:hyperlink>
            <w:r>
              <w:rPr>
                <w:rStyle w:val="row-content-rich-text"/>
              </w:rPr>
              <w:t xml:space="preserve"> reports, and biennially in reports such as the </w:t>
            </w:r>
            <w:hyperlink w:history="true" r:id="R09e07653eb4a43e5">
              <w:r>
                <w:rPr>
                  <w:rStyle w:val="Hyperlink"/>
                </w:rPr>
                <w:t xml:space="preserve">Aboriginal and Torres Strait Islander Health Performance Framework</w:t>
              </w:r>
            </w:hyperlink>
            <w:r>
              <w:rPr>
                <w:rStyle w:val="row-content-rich-text"/>
              </w:rPr>
              <w:t xml:space="preserve"> report, and the </w:t>
            </w:r>
            <w:hyperlink w:history="true" r:id="R6bdc9c499f4b45c3">
              <w:r>
                <w:rPr>
                  <w:rStyle w:val="Hyperlink"/>
                </w:rPr>
                <w:t xml:space="preserve">Overcoming Indigenous Disadvantage: key indicators</w:t>
              </w:r>
            </w:hyperlink>
            <w:r>
              <w:rPr>
                <w:rStyle w:val="row-content-rich-text"/>
              </w:rPr>
              <w:t xml:space="preserve"> reports (e.g. SCRGSP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the AIHW's </w:t>
            </w:r>
            <w:hyperlink w:history="true" r:id="Rffbdd691448149ec">
              <w:r>
                <w:rPr>
                  <w:rStyle w:val="Hyperlink"/>
                  <w:i/>
                </w:rPr>
                <w:t xml:space="preserve">Australia’s mothers and babies</w:t>
              </w:r>
            </w:hyperlink>
            <w:r>
              <w:rPr>
                <w:rStyle w:val="row-content-rich-text"/>
              </w:rPr>
              <w:t xml:space="preserve"> report (Appendices A and D in the 2016 edition) (AIHW 2017) and in the </w:t>
            </w:r>
            <w:hyperlink w:history="true" r:id="R9abd477122734266">
              <w:r>
                <w:rPr>
                  <w:rStyle w:val="Hyperlink"/>
                </w:rPr>
                <w:t xml:space="preserve">Data Quality Statement for the NPDC</w:t>
              </w:r>
            </w:hyperlink>
            <w:r>
              <w:rPr>
                <w:rStyle w:val="row-content-rich-text"/>
              </w:rPr>
              <w:t xml:space="preserve">.</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is published in the AIHW’s online metadata repository, </w:t>
            </w:r>
            <w:hyperlink w:history="true" r:id="Ref3b37eb1c25464b">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cbb79b05ea204e0c">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 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Birthweight of the baby and Indigenous status of the mother and the baby are data elements in the Perinatal NMDS.</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NMDS item on Indigenous status of the mother from 2005 and Indigenous status of the baby from 2012.</w:t>
            </w:r>
          </w:p>
          <w:p>
            <w:pPr>
              <w:spacing w:after="160"/>
            </w:pPr>
            <w:r>
              <w:rPr>
                <w:rStyle w:val="row-content-rich-text"/>
              </w:rPr>
              <w:t xml:space="preserve">Data for this indicator exclude multiple births, stillbirths and births of less than 20 weeks gestation.</w:t>
            </w:r>
          </w:p>
          <w:p>
            <w:pPr>
              <w:spacing w:after="160"/>
            </w:pPr>
            <w:r>
              <w:rPr>
                <w:rStyle w:val="row-content-rich-text"/>
              </w:rPr>
              <w:t xml:space="preserve">Analysis excludes babies born to mothers who are non-Australian residents, residents of external territories and where state/territory of usual residence was not stated.</w:t>
            </w:r>
          </w:p>
          <w:p>
            <w:pPr>
              <w:spacing w:after="160"/>
            </w:pPr>
            <w:r>
              <w:rPr>
                <w:rStyle w:val="row-content-rich-text"/>
              </w:rPr>
              <w:t xml:space="preserve">Analysis by state/territory and remoteness is based on the usual residence of the mother.</w:t>
            </w:r>
          </w:p>
          <w:p>
            <w:pPr/>
            <w:r>
              <w:rPr>
                <w:rStyle w:val="row-content-rich-text"/>
              </w:rPr>
              <w:t xml:space="preserve">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3"/>
              </w:numPr>
            </w:pPr>
            <w:r>
              <w:rPr>
                <w:rStyle w:val="row-content-rich-text"/>
              </w:rPr>
              <w:t xml:space="preserve">data editing and subsequent updates of state/territory databases after the supply of data to the AIHW</w:t>
            </w:r>
          </w:p>
          <w:p>
            <w:pPr>
              <w:pStyle w:val="ListParagraph"/>
              <w:numPr>
                <w:ilvl w:val="0"/>
                <w:numId w:val="3"/>
              </w:numPr>
            </w:pPr>
            <w:r>
              <w:rPr>
                <w:rStyle w:val="row-content-rich-text"/>
              </w:rPr>
              <w:t xml:space="preserve">data are reported by state/territory of usual residence rather than state/territory of birth. </w:t>
            </w:r>
          </w:p>
          <w:p>
            <w:pPr>
              <w:spacing w:after="160"/>
            </w:pPr>
            <w:r>
              <w:rPr>
                <w:rStyle w:val="row-content-rich-text"/>
              </w:rPr>
              <w:t xml:space="preserve">The geographical location code for the area of usual residence of the mother is included in the Perinatal NMDS. Only 0.2% of records were for Australian non-residents or could not be assigned to a state or territory of residence in 2016. There is no scope in the data element ‘Area of usual residence of mother’ to discriminate temporary residence of mother for the purposes of accessing birthing services from usual residence. The former may differentially impact populations from </w:t>
            </w:r>
            <w:r>
              <w:rPr>
                <w:rStyle w:val="row-content-rich-text"/>
                <w:i/>
              </w:rPr>
              <w:t xml:space="preserve">Remote </w:t>
            </w:r>
            <w:r>
              <w:rPr>
                <w:rStyle w:val="row-content-rich-text"/>
              </w:rPr>
              <w:t xml:space="preserve">and </w:t>
            </w:r>
            <w:r>
              <w:rPr>
                <w:rStyle w:val="row-content-rich-text"/>
                <w:i/>
              </w:rPr>
              <w:t xml:space="preserve">Very remote </w:t>
            </w:r>
            <w:r>
              <w:rPr>
                <w:rStyle w:val="row-content-rich-text"/>
              </w:rPr>
              <w:t xml:space="preserve">areas, where services are not available locally.</w:t>
            </w:r>
          </w:p>
          <w:p>
            <w:pPr>
              <w:spacing w:after="160"/>
            </w:pPr>
            <w:r>
              <w:rPr>
                <w:rStyle w:val="row-content-rich-text"/>
              </w:rPr>
              <w:t xml:space="preserve">Birthweight is nearly universally reported, with only 0.04% of records for live born singleton babies missing birthweight information in 2016.</w:t>
            </w:r>
          </w:p>
          <w:p>
            <w:pPr>
              <w:spacing w:after="160"/>
            </w:pPr>
            <w:r>
              <w:rPr>
                <w:rStyle w:val="row-content-rich-text"/>
              </w:rPr>
              <w:t xml:space="preserve">Data presented by Indigenous status are influenced by the quality and completeness of Indigenous identification of mothers and babies which may differ across jurisdictions. In 2016, information on the Indigenous status of the mother was not stated for 0.3% of mothers who gave birth and information on the Indigenous status of the baby was not stated for 1.1% of babies born in the reference year. Jurisdictional differences in the level of not stated data for Indigenous status ranged from 0.0% to 2.0% for Indigenous status of the mother and from 0.0% to 2.8% for Indigenous status of the baby in 2016, and there may also be differences in the rates of Indigenous under-identification. Therefore, jurisdictional comparisons of data by Indigenous status should be made with caution. For this indicator, records where Indigenous status was not stated were excluded from Indigenous and non-Indigenous analyses but were included in totals.</w:t>
            </w:r>
          </w:p>
          <w:p>
            <w:pPr/>
            <w:r>
              <w:rPr>
                <w:rStyle w:val="row-content-rich-text"/>
              </w:rPr>
              <w:t xml:space="preserve">Disaggregated data by Indigenous status is reported by single year for time series and by 3-year combined data for the current reporting period. Single year data by Indigenous status should be used with caution due to the small numbers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w:t>
            </w:r>
            <w:r>
              <w:rPr>
                <w:rStyle w:val="row-content-rich-text"/>
                <w:i/>
              </w:rPr>
              <w:t xml:space="preserve">Australia’s mothers and babies </w:t>
            </w:r>
            <w:r>
              <w:rPr>
                <w:rStyle w:val="row-content-rich-text"/>
              </w:rPr>
              <w:t xml:space="preserve">reports (e.g. AIHW 2018), and biennially in reports such as the </w:t>
            </w:r>
            <w:r>
              <w:rPr>
                <w:rStyle w:val="row-content-rich-text"/>
                <w:i/>
              </w:rPr>
              <w:t xml:space="preserve">Aboriginal and Torres Strait Islander health performance framework</w:t>
            </w:r>
            <w:r>
              <w:rPr>
                <w:rStyle w:val="row-content-rich-text"/>
              </w:rPr>
              <w:t xml:space="preserve"> (e.g. AHMAC 2017), and </w:t>
            </w:r>
            <w:r>
              <w:rPr>
                <w:rStyle w:val="row-content-rich-text"/>
                <w:i/>
              </w:rPr>
              <w:t xml:space="preserve">Overcoming Indigenous disadvantage: key indicators </w:t>
            </w:r>
            <w:r>
              <w:rPr>
                <w:rStyle w:val="row-content-rich-text"/>
              </w:rPr>
              <w:t xml:space="preserve">(e.g. SCRGSP 2016). The numbers presented in these publications may differ slightly from those presented here as this measure is reported by state and territory of usual residence and excludes multiple births, stillbirths and births less than 20 weeks’ gestation.</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 Indigenous status of the baby was added to the Perinatal NMDS for collection from July 2012. Nationally standardised data about the Indigenous status of the baby was supplied by all jurisdictions to the NPDC for 2016. Thus, for this reporting cycle, 2016 data were available according to both the Indigenous status of the mother and Indigenous status of the baby.</w:t>
            </w:r>
          </w:p>
          <w:p>
            <w:pPr/>
            <w:r>
              <w:rPr>
                <w:rStyle w:val="row-content-rich-text"/>
              </w:rPr>
              <w:t xml:space="preserve">In 2011, the ABS updated the standard geographical framework from the Australian Standard Geographical Classification (ASGC) to the ASGS. NPDC data by remoteness for 2011 and earlier years are based on the ASGC, while data for 2012 onwards are based on the ASGS. The AIHW considers the change to be a break in series when applied to remoteness data supplied for this indicator; therefore, remoteness data for 2012 are not directly comparable with data for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AHMAC (Australian Health Ministers' Advisory Council) 2017. Aboriginal and Torres Strait Islander health performance framework 2017 Report. Canberra: AHMAC. Viewed 4 October 2018, </w:t>
            </w:r>
            <w:hyperlink w:history="true" r:id="R6ba12a8a8fb944a2">
              <w:r>
                <w:rPr>
                  <w:rStyle w:val="Hyperlink"/>
                </w:rPr>
                <w:t xml:space="preserve">https://www.pmc.gov.au/resource-centre/indigenous-affairs/health-performance-framework-2017-report</w:t>
              </w:r>
            </w:hyperlink>
          </w:p>
          <w:p>
            <w:pPr>
              <w:spacing w:after="160"/>
            </w:pPr>
            <w:r>
              <w:rPr>
                <w:rStyle w:val="row-content-rich-text"/>
              </w:rPr>
              <w:t xml:space="preserve">AIHW 2018. Australia's mothers and babies 2016—in brief. Perinatal statistics series no. 34. Cat. no. PER 97. Canberra: AIHW. Viewed 4 October 2018, </w:t>
            </w:r>
            <w:hyperlink w:history="true" r:id="R5fe3c99695a94ca7">
              <w:r>
                <w:rPr>
                  <w:rStyle w:val="Hyperlink"/>
                </w:rPr>
                <w:t xml:space="preserve">https://www.aihw.gov.au/reports/mothers-babies/australias-mothers-babies-2016-in-brief</w:t>
              </w:r>
            </w:hyperlink>
          </w:p>
          <w:p>
            <w:pPr/>
            <w:r>
              <w:rPr>
                <w:rStyle w:val="row-content-rich-text"/>
              </w:rPr>
              <w:t xml:space="preserve">SCRGSP (Steering Committee for the Review of Government Service Provision) 2016. Overcoming Indigenous disadvantage. Viewed 27 September 2017, </w:t>
            </w:r>
            <w:hyperlink w:history="true" r:id="R32f4167696ff4174">
              <w:r>
                <w:rPr>
                  <w:rStyle w:val="Hyperlink"/>
                </w:rPr>
                <w:t xml:space="preserve">http://www.pc.gov.au/research/ongoing/overcoming-indigenous-disadvantage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df1fc81eba4fdb">
              <w:r>
                <w:rPr>
                  <w:rStyle w:val="Hyperlink"/>
                </w:rPr>
                <w:t xml:space="preserve">National Indigenous Reform Agreement: PI 07-Proportion of babies born of low birthweight, 2018; Quality Statement</w:t>
              </w:r>
            </w:hyperlink>
          </w:p>
          <w:p>
            <w:pPr>
              <w:pStyle w:val="registration-status"/>
              <w:spacing w:before="0" w:after="0"/>
            </w:pPr>
            <w:hyperlink w:history="true" r:id="R892a43e657fb4d3e">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56c4e90331ec4a45">
              <w:r>
                <w:rPr>
                  <w:rStyle w:val="Hyperlink"/>
                </w:rPr>
                <w:t xml:space="preserve">National Indigenous Reform Agreement: PI 07-Proportion of babies born of low birthweight, 2020; Quality Statement</w:t>
              </w:r>
            </w:hyperlink>
          </w:p>
          <w:p>
            <w:pPr>
              <w:pStyle w:val="registration-status"/>
              <w:spacing w:before="0" w:after="0"/>
            </w:pPr>
            <w:hyperlink w:history="true" r:id="R7c83676ba8b64e51">
              <w:r>
                <w:rPr>
                  <w:rStyle w:val="Hyperlink"/>
                  <w:color w:val="244061"/>
                </w:rPr>
                <w:t xml:space="preserve">Indigenous</w:t>
              </w:r>
            </w:hyperlink>
            <w:r>
              <w:rPr>
                <w:rStyle w:val="row-content"/>
                <w:color w:val="244061"/>
              </w:rPr>
              <w:t xml:space="preserve">, Standard 06/02/2020</w:t>
            </w:r>
          </w:p>
          <w:p>
            <w:r>
              <w:br/>
            </w:r>
            <w:r>
              <w:rPr>
                <w:rStyle w:val="row-content"/>
              </w:rPr>
              <w:t xml:space="preserve">See also </w:t>
            </w:r>
            <w:hyperlink w:history="true" r:id="R5195eb8f68524561">
              <w:r>
                <w:rPr>
                  <w:rStyle w:val="Hyperlink"/>
                </w:rPr>
                <w:t xml:space="preserve">National Indigenous Reform Agreement: PI 01-Estimated life expectancy at birth, 2019; Quality Statement</w:t>
              </w:r>
            </w:hyperlink>
          </w:p>
          <w:p>
            <w:pPr>
              <w:pStyle w:val="registration-status"/>
              <w:spacing w:before="0" w:after="0"/>
            </w:pPr>
            <w:hyperlink w:history="true" r:id="Rf127b81b9e00482d">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590ba058a81c467b">
              <w:r>
                <w:rPr>
                  <w:rStyle w:val="Hyperlink"/>
                </w:rPr>
                <w:t xml:space="preserve">National Indigenous Reform Agreement: PI 01-Estimated life expectancy at birth, 2020; Quality Statement</w:t>
              </w:r>
            </w:hyperlink>
          </w:p>
          <w:p>
            <w:pPr>
              <w:pStyle w:val="registration-status"/>
              <w:spacing w:before="0" w:after="0"/>
            </w:pPr>
            <w:hyperlink w:history="true" r:id="Re37fe6e0c3f440f3">
              <w:r>
                <w:rPr>
                  <w:rStyle w:val="Hyperlink"/>
                  <w:color w:val="244061"/>
                </w:rPr>
                <w:t xml:space="preserve">Indigenous</w:t>
              </w:r>
            </w:hyperlink>
            <w:r>
              <w:rPr>
                <w:rStyle w:val="row-content"/>
                <w:color w:val="244061"/>
              </w:rPr>
              <w:t xml:space="preserve">, Standard 06/02/2020</w:t>
            </w:r>
          </w:p>
          <w:p>
            <w:r>
              <w:br/>
            </w:r>
            <w:r>
              <w:rPr>
                <w:rStyle w:val="row-content"/>
              </w:rPr>
              <w:t xml:space="preserve">See also </w:t>
            </w:r>
            <w:hyperlink w:history="true" r:id="R58b03b1fa6504c8d">
              <w:r>
                <w:rPr>
                  <w:rStyle w:val="Hyperlink"/>
                </w:rPr>
                <w:t xml:space="preserve">National Perinatal Data Collection, 2016: Quality Statement</w:t>
              </w:r>
            </w:hyperlink>
          </w:p>
          <w:p>
            <w:pPr>
              <w:pStyle w:val="registration-status"/>
              <w:spacing w:before="0" w:after="0"/>
            </w:pPr>
            <w:hyperlink w:history="true" r:id="Re07b73cbe1884034">
              <w:r>
                <w:rPr>
                  <w:rStyle w:val="Hyperlink"/>
                  <w:color w:val="244061"/>
                </w:rPr>
                <w:t xml:space="preserve">AIHW Data Quality Statements</w:t>
              </w:r>
            </w:hyperlink>
            <w:r>
              <w:rPr>
                <w:rStyle w:val="row-content"/>
                <w:color w:val="244061"/>
              </w:rPr>
              <w:t xml:space="preserve">, Superseded 27/06/2019</w:t>
            </w:r>
          </w:p>
          <w:p>
            <w:r>
              <w:br/>
            </w:r>
            <w:r>
              <w:rPr>
                <w:rStyle w:val="row-content"/>
              </w:rPr>
              <w:t xml:space="preserve">See also </w:t>
            </w:r>
            <w:hyperlink w:history="true" r:id="Rb52ece7489654042">
              <w:r>
                <w:rPr>
                  <w:rStyle w:val="Hyperlink"/>
                </w:rPr>
                <w:t xml:space="preserve">National Perinatal Data Collection, 2017: Quality Statement</w:t>
              </w:r>
            </w:hyperlink>
          </w:p>
          <w:p>
            <w:pPr>
              <w:pStyle w:val="registration-status"/>
              <w:spacing w:before="0" w:after="0"/>
            </w:pPr>
            <w:hyperlink w:history="true" r:id="Raaade0f5e09642b9">
              <w:r>
                <w:rPr>
                  <w:rStyle w:val="Hyperlink"/>
                  <w:color w:val="244061"/>
                </w:rPr>
                <w:t xml:space="preserve">AIHW Data Quality Statements</w:t>
              </w:r>
            </w:hyperlink>
            <w:r>
              <w:rPr>
                <w:rStyle w:val="row-content"/>
                <w:color w:val="244061"/>
              </w:rPr>
              <w:t xml:space="preserve">, Superseded 29/05/2020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5b5209db9c04ada">
              <w:r>
                <w:rPr>
                  <w:rStyle w:val="Hyperlink"/>
                </w:rPr>
                <w:t xml:space="preserve">National Indigenous Reform Agreement: PI 07-Proportion of babies born of low birthweight, 2019</w:t>
              </w:r>
            </w:hyperlink>
          </w:p>
          <w:p>
            <w:pPr>
              <w:pStyle w:val="registration-status"/>
              <w:spacing w:before="0" w:after="0"/>
            </w:pPr>
            <w:hyperlink w:history="true" r:id="R72ef411136a94f15">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9b0f3caa09c946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711071</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9ec06c6b4340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0f3caa09c9464a" /><Relationship Type="http://schemas.openxmlformats.org/officeDocument/2006/relationships/header" Target="/word/header1.xml" Id="Rd70ecc81c5f34b9b" /><Relationship Type="http://schemas.openxmlformats.org/officeDocument/2006/relationships/settings" Target="/word/settings.xml" Id="Re1f18b463d624972" /><Relationship Type="http://schemas.openxmlformats.org/officeDocument/2006/relationships/styles" Target="/word/styles.xml" Id="R1cf6ec11d4584072" /><Relationship Type="http://schemas.openxmlformats.org/officeDocument/2006/relationships/numbering" Target="/word/numbering.xml" Id="R9417198afbc04248" /><Relationship Type="http://schemas.openxmlformats.org/officeDocument/2006/relationships/hyperlink" Target="https://www.aihw.gov.au/reports/mothers-babies/national-core-maternity-indicators-stage-3-4/contents/table-of-contents" TargetMode="External" Id="R50c8d657859944dc" /><Relationship Type="http://schemas.openxmlformats.org/officeDocument/2006/relationships/hyperlink" Target="https://meteor.aihw.gov.au/RegistrationAuthority/6" TargetMode="External" Id="Recffa0c2484c4b11" /><Relationship Type="http://schemas.openxmlformats.org/officeDocument/2006/relationships/hyperlink" Target="https://www.aihw.gov.au/" TargetMode="External" Id="R630a8bc97aca4a0c" /><Relationship Type="http://schemas.openxmlformats.org/officeDocument/2006/relationships/hyperlink" Target="https://www.aihw.gov.au/reports-data/population-groups/mothers-babies/overview" TargetMode="External" Id="Rebdc69bd5e654d30" /><Relationship Type="http://schemas.openxmlformats.org/officeDocument/2006/relationships/hyperlink" Target="https://www.aihw.gov.au/reports/mothers-babies/perinatal-data-visualisations/contents/data-visualisations" TargetMode="External" Id="Rf66db2f190ae4617" /><Relationship Type="http://schemas.openxmlformats.org/officeDocument/2006/relationships/hyperlink" Target="https://www.aihw.gov.au/reports/mothers-babies/national-core-maternity-indicators-stage-3-4/contents/table-of-contents" TargetMode="External" Id="Rfe24db625b4e48d8" /><Relationship Type="http://schemas.openxmlformats.org/officeDocument/2006/relationships/hyperlink" Target="https://www.aihw.gov.au/reports/mothers-babies/ncmi-data-visualisations/contents/summary" TargetMode="External" Id="R6211962f18cf4922" /><Relationship Type="http://schemas.openxmlformats.org/officeDocument/2006/relationships/hyperlink" Target="http://www.pc.gov.au/research/supporting/national-agreements" TargetMode="External" Id="R04784371595147ad" /><Relationship Type="http://schemas.openxmlformats.org/officeDocument/2006/relationships/hyperlink" Target="https://www.aihw.gov.au/reports-data/population-groups/mothers-babies/overview" TargetMode="External" Id="R3884128cc1c24a5f" /><Relationship Type="http://schemas.openxmlformats.org/officeDocument/2006/relationships/hyperlink" Target="https://www.aihw.gov.au/reports/indigenous-health-welfare/health-performance-framework/contents/overview" TargetMode="External" Id="R09e07653eb4a43e5" /><Relationship Type="http://schemas.openxmlformats.org/officeDocument/2006/relationships/hyperlink" Target="https://www.pc.gov.au/research/ongoing/overcoming-indigenous-disadvantage" TargetMode="External" Id="R6bdc9c499f4b45c3" /><Relationship Type="http://schemas.openxmlformats.org/officeDocument/2006/relationships/hyperlink" Target="https://www.aihw.gov.au/reports/mothers-babies/australias-mothers-babies-2016-in-brief/contents/table-of-contents" TargetMode="External" Id="Rffbdd691448149ec" /><Relationship Type="http://schemas.openxmlformats.org/officeDocument/2006/relationships/hyperlink" Target="https://meteor.aihw.gov.au/content/693978" TargetMode="External" Id="R9abd477122734266" /><Relationship Type="http://schemas.openxmlformats.org/officeDocument/2006/relationships/hyperlink" Target="https://meteor.aihw.gov.au/content/181162" TargetMode="External" Id="Ref3b37eb1c25464b" /><Relationship Type="http://schemas.openxmlformats.org/officeDocument/2006/relationships/hyperlink" Target="http://maternitymatrix.aihw.gov.au/Pages/About-the-MIM.aspx" TargetMode="External" Id="Rcbb79b05ea204e0c" /><Relationship Type="http://schemas.openxmlformats.org/officeDocument/2006/relationships/hyperlink" Target="https://www.pmc.gov.au/resource-centre/indigenous-affairs/health-performance-framework-2017-report" TargetMode="External" Id="R6ba12a8a8fb944a2" /><Relationship Type="http://schemas.openxmlformats.org/officeDocument/2006/relationships/hyperlink" Target="https://www.aihw.gov.au/reports/mothers-babies/australias-mothers-babies-2016-in-brief" TargetMode="External" Id="R5fe3c99695a94ca7" /><Relationship Type="http://schemas.openxmlformats.org/officeDocument/2006/relationships/hyperlink" Target="http://www.pc.gov.au/research/ongoing/overcoming-indigenous-disadvantage" TargetMode="External" Id="R32f4167696ff4174" /><Relationship Type="http://schemas.openxmlformats.org/officeDocument/2006/relationships/hyperlink" Target="https://meteor.aihw.gov.au/content/689650" TargetMode="External" Id="R29df1fc81eba4fdb" /><Relationship Type="http://schemas.openxmlformats.org/officeDocument/2006/relationships/hyperlink" Target="https://meteor.aihw.gov.au/RegistrationAuthority/6" TargetMode="External" Id="R892a43e657fb4d3e" /><Relationship Type="http://schemas.openxmlformats.org/officeDocument/2006/relationships/hyperlink" Target="https://meteor.aihw.gov.au/content/726258" TargetMode="External" Id="R56c4e90331ec4a45" /><Relationship Type="http://schemas.openxmlformats.org/officeDocument/2006/relationships/hyperlink" Target="https://meteor.aihw.gov.au/RegistrationAuthority/6" TargetMode="External" Id="R7c83676ba8b64e51" /><Relationship Type="http://schemas.openxmlformats.org/officeDocument/2006/relationships/hyperlink" Target="https://meteor.aihw.gov.au/content/711059" TargetMode="External" Id="R5195eb8f68524561" /><Relationship Type="http://schemas.openxmlformats.org/officeDocument/2006/relationships/hyperlink" Target="https://meteor.aihw.gov.au/RegistrationAuthority/6" TargetMode="External" Id="Rf127b81b9e00482d" /><Relationship Type="http://schemas.openxmlformats.org/officeDocument/2006/relationships/hyperlink" Target="https://meteor.aihw.gov.au/content/726246" TargetMode="External" Id="R590ba058a81c467b" /><Relationship Type="http://schemas.openxmlformats.org/officeDocument/2006/relationships/hyperlink" Target="https://meteor.aihw.gov.au/RegistrationAuthority/6" TargetMode="External" Id="Re37fe6e0c3f440f3" /><Relationship Type="http://schemas.openxmlformats.org/officeDocument/2006/relationships/hyperlink" Target="https://meteor.aihw.gov.au/content/693978" TargetMode="External" Id="R58b03b1fa6504c8d" /><Relationship Type="http://schemas.openxmlformats.org/officeDocument/2006/relationships/hyperlink" Target="https://meteor.aihw.gov.au/RegistrationAuthority/5" TargetMode="External" Id="Re07b73cbe1884034" /><Relationship Type="http://schemas.openxmlformats.org/officeDocument/2006/relationships/hyperlink" Target="https://meteor.aihw.gov.au/content/716326" TargetMode="External" Id="Rb52ece7489654042" /><Relationship Type="http://schemas.openxmlformats.org/officeDocument/2006/relationships/hyperlink" Target="https://meteor.aihw.gov.au/RegistrationAuthority/5" TargetMode="External" Id="Raaade0f5e09642b9" /><Relationship Type="http://schemas.openxmlformats.org/officeDocument/2006/relationships/hyperlink" Target="https://meteor.aihw.gov.au/content/699454" TargetMode="External" Id="R95b5209db9c04ada" /><Relationship Type="http://schemas.openxmlformats.org/officeDocument/2006/relationships/hyperlink" Target="https://meteor.aihw.gov.au/RegistrationAuthority/6" TargetMode="External" Id="R72ef411136a94f15" /></Relationships>
</file>

<file path=word/_rels/header1.xml.rels>&#65279;<?xml version="1.0" encoding="utf-8"?><Relationships xmlns="http://schemas.openxmlformats.org/package/2006/relationships"><Relationship Type="http://schemas.openxmlformats.org/officeDocument/2006/relationships/image" Target="/media/image.png" Id="Rfc9ec06c6b434098" /></Relationships>
</file>