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c08e79b0f1400b"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2018: Number of PBS/RPBS prescriptions dispensed for antipsychotic medicines per 100,000 people, 2013-14, 2014-15, 2015-16 and 2016-17 (i) Age 17 years &amp; under, (ii) Age 18 - 64 years, (iii) Age 65 years &amp; over</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2018: Number of PBS/RPBS prescriptions dispensed for antipsychotic medicines per 100,000 people, 2013-14, 2014-15, 2015-16 and 2016-17 (i) Age 17 years &amp; under, (ii) Age 18 - 64 years, (iii) Age 65 years &amp; over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Antipsychotic medicines dispensing, (i) 17 years and under, (ii) 18 to 64 years, (iii) 65 years and over, 2013-14, 2014-15, 2015-16 and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4192c4c2ed4325">
              <w:r>
                <w:rPr>
                  <w:rStyle w:val="Hyperlink"/>
                  <w:color w:val="244061"/>
                </w:rPr>
                <w:t xml:space="preserve">Australian Commission on Safety and Quality in Health Care</w:t>
              </w:r>
            </w:hyperlink>
            <w:r>
              <w:rPr>
                <w:rStyle w:val="row-content"/>
                <w:color w:val="244061"/>
              </w:rPr>
              <w:t xml:space="preserve">, Standard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PBS/RPBS prescriptions dispensed for antipsychotic medicines per 100,000 people, aged (i) 17 years and under, (ii) 18 to 64 years, (iii) 65 years and over, age-sex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3f331d831d34762">
              <w:r>
                <w:rPr>
                  <w:rStyle w:val="Hyperlink"/>
                </w:rPr>
                <w:t xml:space="preserve">Australian Atlas of Healthcare Variation 2018</w:t>
              </w:r>
            </w:hyperlink>
          </w:p>
          <w:p>
            <w:pPr>
              <w:spacing w:before="0" w:after="0"/>
            </w:pPr>
            <w:r>
              <w:rPr>
                <w:rStyle w:val="row-content"/>
                <w:color w:val="244061"/>
              </w:rPr>
              <w:t xml:space="preserve">       </w:t>
            </w:r>
            <w:hyperlink w:history="true" r:id="R711b0ac4442f4450">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rPr>
              <w:t xml:space="preserve">(i)</w:t>
            </w:r>
            <w:r>
              <w:rPr>
                <w:rStyle w:val="row-content-rich-text"/>
                <w:color w:val="000000"/>
              </w:rPr>
              <w:t xml:space="preserve">   </w:t>
            </w:r>
            <w:r>
              <w:rPr>
                <w:rStyle w:val="row-content-rich-text"/>
              </w:rPr>
              <w:t xml:space="preserve">17 years and under</w:t>
            </w:r>
          </w:p>
          <w:p>
            <w:pPr>
              <w:spacing w:after="160"/>
            </w:pPr>
            <w:r>
              <w:rPr>
                <w:rStyle w:val="row-content-rich-text"/>
                <w:color w:val="000000"/>
              </w:rPr>
              <w:t xml:space="preserve">(ii)</w:t>
            </w:r>
            <w:r>
              <w:rPr>
                <w:rStyle w:val="row-content-rich-text"/>
                <w:color w:val="000000"/>
              </w:rPr>
              <w:t xml:space="preserve">  </w:t>
            </w:r>
            <w:r>
              <w:rPr>
                <w:rStyle w:val="row-content-rich-text"/>
              </w:rPr>
              <w:t xml:space="preserve">18 to 64 years</w:t>
            </w:r>
          </w:p>
          <w:p>
            <w:pPr/>
            <w:r>
              <w:rPr>
                <w:rStyle w:val="row-content-rich-text"/>
              </w:rPr>
              <w:t xml:space="preserve">(iii)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gridCol/>
            </w:tblGrid>
            <w:tr>
              <w:trPr/>
              <w:tc>
                <w:tcPr>
                  <w:tcW w:w="200" w:type="pct"/>
                  <w:vAlign w:val="top"/>
                </w:tcPr>
                <w:p>
                  <w:pPr/>
                  <w:r>
                    <w:rPr>
                      <w:rStyle w:val="row-content-rich-text"/>
                      <w:b/>
                      <w:color w:val="000000"/>
                    </w:rPr>
                    <w:t xml:space="preserve">Anatomical</w:t>
                  </w:r>
                  <w:r>
                    <w:rPr>
                      <w:rStyle w:val="row-content-rich-text"/>
                      <w:b/>
                      <w:color w:val="000000"/>
                    </w:rPr>
                    <w:t xml:space="preserve"> Therapeutic Chemical (</w:t>
                  </w:r>
                  <w:r>
                    <w:rPr>
                      <w:rStyle w:val="row-content-rich-text"/>
                      <w:b/>
                      <w:color w:val="000000"/>
                    </w:rPr>
                    <w:t xml:space="preserve">ATC) Code</w:t>
                  </w:r>
                </w:p>
              </w:tc>
              <w:tc>
                <w:tcPr>
                  <w:tcW w:w="750" w:type="pct"/>
                  <w:vAlign w:val="top"/>
                </w:tcPr>
                <w:p>
                  <w:r>
                    <w:rPr>
                      <w:b/>
                    </w:rPr>
                    <w:t xml:space="preserve">Description </w:t>
                  </w:r>
                </w:p>
                <w:p>
                  <w:r>
                    <w:rPr>
                      <w:b/>
                    </w:rPr>
                    <w:t xml:space="preserve">(Drug Name)</w:t>
                  </w:r>
                </w:p>
              </w:tc>
              <w:tc>
                <w:tcPr>
                  <w:tcW w:w="2450" w:type="pct"/>
                  <w:vAlign w:val="top"/>
                </w:tcPr>
                <w:p>
                  <w:r>
                    <w:rPr>
                      <w:b/>
                    </w:rPr>
                    <w:t xml:space="preserve">PBS code (Item Code)</w:t>
                  </w:r>
                </w:p>
              </w:tc>
              <w:tc>
                <w:tcPr>
                  <w:tcW w:w="1500" w:type="pct"/>
                  <w:vAlign w:val="top"/>
                </w:tcPr>
                <w:p>
                  <w:r>
                    <w:rPr>
                      <w:b/>
                    </w:rPr>
                    <w:t xml:space="preserve">Comments</w:t>
                  </w:r>
                </w:p>
              </w:tc>
            </w:tr>
            <w:tr>
              <w:trPr/>
              <w:tc>
                <w:tcPr>
                  <w:tcW w:w="200" w:type="pct"/>
                  <w:vMerge w:val="restart"/>
                  <w:vAlign w:val="top"/>
                </w:tcPr>
                <w:p>
                  <w:r>
                    <w:t xml:space="preserve">N05A</w:t>
                  </w:r>
                </w:p>
                <w:p>
                  <w:r>
                    <w:t xml:space="preserve"> </w:t>
                  </w:r>
                </w:p>
              </w:tc>
              <w:tc>
                <w:tcPr>
                  <w:tcW w:w="750" w:type="pct"/>
                  <w:vAlign w:val="top"/>
                </w:tcPr>
                <w:p>
                  <w:r>
                    <w:t xml:space="preserve">AMISULPRIDE</w:t>
                  </w:r>
                </w:p>
              </w:tc>
              <w:tc>
                <w:tcPr>
                  <w:tcW w:w="2450" w:type="pct"/>
                  <w:vAlign w:val="top"/>
                </w:tcPr>
                <w:p>
                  <w:r>
                    <w:t xml:space="preserve">08594H, 08595J, 08596K, 08736T</w:t>
                  </w:r>
                </w:p>
              </w:tc>
              <w:tc>
                <w:tcPr>
                  <w:tcW w:w="1500" w:type="pct"/>
                  <w:vAlign w:val="top"/>
                </w:tcPr>
                <w:p>
                  <w:r>
                    <w:t xml:space="preserve"> </w:t>
                  </w:r>
                </w:p>
              </w:tc>
            </w:tr>
            <w:tr>
              <w:trPr/>
              <w:tc>
                <w:tcPr>
                  <w:tcW w:w="200" w:type="pct"/>
                  <w:vMerge/>
                </w:tcPr>
                <w:p/>
              </w:tc>
              <w:tc>
                <w:tcPr>
                  <w:tcW w:w="750" w:type="pct"/>
                  <w:vAlign w:val="top"/>
                </w:tcPr>
                <w:p>
                  <w:r>
                    <w:t xml:space="preserve">ARIPIPRAZOLE</w:t>
                  </w:r>
                </w:p>
              </w:tc>
              <w:tc>
                <w:tcPr>
                  <w:tcW w:w="2450" w:type="pct"/>
                  <w:vAlign w:val="top"/>
                </w:tcPr>
                <w:p>
                  <w:r>
                    <w:t xml:space="preserve">08717T, 08718W, 08719X, 08720Y, 10219W, 10224D</w:t>
                  </w:r>
                </w:p>
              </w:tc>
              <w:tc>
                <w:tcPr>
                  <w:tcW w:w="1500" w:type="pct"/>
                  <w:vAlign w:val="top"/>
                </w:tcPr>
                <w:p>
                  <w:r>
                    <w:t xml:space="preserve">10219W, 10224D (Listed from 1 Mar 2015 onwards)</w:t>
                  </w:r>
                </w:p>
              </w:tc>
            </w:tr>
            <w:tr>
              <w:trPr/>
              <w:tc>
                <w:tcPr>
                  <w:tcW w:w="200" w:type="pct"/>
                  <w:vMerge/>
                </w:tcPr>
                <w:p/>
              </w:tc>
              <w:tc>
                <w:tcPr>
                  <w:tcW w:w="750" w:type="pct"/>
                  <w:vAlign w:val="top"/>
                </w:tcPr>
                <w:p>
                  <w:r>
                    <w:t xml:space="preserve">ASENAPINE</w:t>
                  </w:r>
                </w:p>
              </w:tc>
              <w:tc>
                <w:tcPr>
                  <w:tcW w:w="2450" w:type="pct"/>
                  <w:vAlign w:val="top"/>
                </w:tcPr>
                <w:p>
                  <w:r>
                    <w:t xml:space="preserve">05140M, 05141N</w:t>
                  </w:r>
                </w:p>
              </w:tc>
              <w:tc>
                <w:tcPr>
                  <w:tcW w:w="1500" w:type="pct"/>
                  <w:vAlign w:val="top"/>
                </w:tcPr>
                <w:p>
                  <w:r>
                    <w:t xml:space="preserve"> </w:t>
                  </w:r>
                </w:p>
              </w:tc>
            </w:tr>
            <w:tr>
              <w:trPr/>
              <w:tc>
                <w:tcPr>
                  <w:tcW w:w="200" w:type="pct"/>
                  <w:vMerge/>
                </w:tcPr>
                <w:p/>
              </w:tc>
              <w:tc>
                <w:tcPr>
                  <w:tcW w:w="750" w:type="pct"/>
                  <w:vAlign w:val="top"/>
                </w:tcPr>
                <w:p>
                  <w:r>
                    <w:t xml:space="preserve">CHLORPROMAZINE</w:t>
                  </w:r>
                </w:p>
              </w:tc>
              <w:tc>
                <w:tcPr>
                  <w:tcW w:w="2450" w:type="pct"/>
                  <w:vAlign w:val="top"/>
                </w:tcPr>
                <w:p>
                  <w:r>
                    <w:t xml:space="preserve">01195X, 01196Y, 01197B, 01199D, 01201F, 03455W</w:t>
                  </w:r>
                </w:p>
              </w:tc>
              <w:tc>
                <w:tcPr>
                  <w:tcW w:w="1500" w:type="pct"/>
                  <w:vAlign w:val="top"/>
                </w:tcPr>
                <w:p>
                  <w:r>
                    <w:t xml:space="preserve"> </w:t>
                  </w:r>
                </w:p>
              </w:tc>
            </w:tr>
            <w:tr>
              <w:trPr/>
              <w:tc>
                <w:tcPr>
                  <w:tcW w:w="200" w:type="pct"/>
                  <w:vMerge/>
                </w:tcPr>
                <w:p/>
              </w:tc>
              <w:tc>
                <w:tcPr>
                  <w:tcW w:w="750" w:type="pct"/>
                  <w:vAlign w:val="top"/>
                </w:tcPr>
                <w:p>
                  <w:r>
                    <w:t xml:space="preserve">CLOZAPINE</w:t>
                  </w:r>
                </w:p>
              </w:tc>
              <w:tc>
                <w:tcPr>
                  <w:tcW w:w="2450" w:type="pct"/>
                  <w:vAlign w:val="top"/>
                </w:tcPr>
                <w:p>
                  <w:r>
                    <w:t xml:space="preserve">05626D, 05627E, 05628F, 05629G, 05630H, 06101D, 06102E, 06417R, 06418T, 09632Y, 10288L, 10289M, 10302F, 10341G, 10358E</w:t>
                  </w:r>
                </w:p>
              </w:tc>
              <w:tc>
                <w:tcPr>
                  <w:tcW w:w="1500" w:type="pct"/>
                  <w:vAlign w:val="top"/>
                </w:tcPr>
                <w:p>
                  <w:r>
                    <w:t xml:space="preserve">10288L, 10289M, 10302F, 10341G, </w:t>
                  </w:r>
                </w:p>
                <w:p>
                  <w:r>
                    <w:t xml:space="preserve">10358E </w:t>
                  </w:r>
                </w:p>
                <w:p>
                  <w:r>
                    <w:t xml:space="preserve">(Listed from 1 Jul 2015 onwards)</w:t>
                  </w:r>
                </w:p>
              </w:tc>
            </w:tr>
            <w:tr>
              <w:trPr/>
              <w:tc>
                <w:tcPr>
                  <w:tcW w:w="200" w:type="pct"/>
                  <w:vMerge/>
                </w:tcPr>
                <w:p/>
              </w:tc>
              <w:tc>
                <w:tcPr>
                  <w:tcW w:w="750" w:type="pct"/>
                  <w:vAlign w:val="top"/>
                </w:tcPr>
                <w:p>
                  <w:r>
                    <w:t xml:space="preserve">FLUPENTHIXOL DECANOATE</w:t>
                  </w:r>
                </w:p>
              </w:tc>
              <w:tc>
                <w:tcPr>
                  <w:tcW w:w="2450" w:type="pct"/>
                  <w:vAlign w:val="top"/>
                </w:tcPr>
                <w:p>
                  <w:r>
                    <w:t xml:space="preserve">02255Q, 02257T, 01001Q, 01046C, 03098C</w:t>
                  </w:r>
                </w:p>
              </w:tc>
              <w:tc>
                <w:tcPr>
                  <w:tcW w:w="1500" w:type="pct"/>
                  <w:vAlign w:val="top"/>
                </w:tcPr>
                <w:p>
                  <w:r>
                    <w:t xml:space="preserve">01001Q, 01046C, 03098C (Listed 1 Aug 1991 – 31 May 2017)</w:t>
                  </w:r>
                </w:p>
              </w:tc>
            </w:tr>
            <w:tr>
              <w:trPr/>
              <w:tc>
                <w:tcPr>
                  <w:tcW w:w="200" w:type="pct"/>
                  <w:vMerge/>
                </w:tcPr>
                <w:p/>
              </w:tc>
              <w:tc>
                <w:tcPr>
                  <w:tcW w:w="750" w:type="pct"/>
                  <w:vAlign w:val="top"/>
                </w:tcPr>
                <w:p>
                  <w:r>
                    <w:t xml:space="preserve">HALOPERIDOL</w:t>
                  </w:r>
                </w:p>
              </w:tc>
              <w:tc>
                <w:tcPr>
                  <w:tcW w:w="2450" w:type="pct"/>
                  <w:vAlign w:val="top"/>
                </w:tcPr>
                <w:p>
                  <w:r>
                    <w:t xml:space="preserve">02761H, 02763K, 02767P, 02768Q, 02770T, 03456X</w:t>
                  </w:r>
                </w:p>
              </w:tc>
              <w:tc>
                <w:tcPr>
                  <w:tcW w:w="1500" w:type="pct"/>
                  <w:vAlign w:val="top"/>
                </w:tcPr>
                <w:p>
                  <w:r>
                    <w:t xml:space="preserve"> </w:t>
                  </w:r>
                </w:p>
              </w:tc>
            </w:tr>
            <w:tr>
              <w:trPr/>
              <w:tc>
                <w:tcPr>
                  <w:tcW w:w="200" w:type="pct"/>
                  <w:vMerge/>
                </w:tcPr>
                <w:p/>
              </w:tc>
              <w:tc>
                <w:tcPr>
                  <w:tcW w:w="750" w:type="pct"/>
                  <w:vAlign w:val="top"/>
                </w:tcPr>
                <w:p>
                  <w:r>
                    <w:t xml:space="preserve">HALOPERIDOL DECANOATE</w:t>
                  </w:r>
                </w:p>
              </w:tc>
              <w:tc>
                <w:tcPr>
                  <w:tcW w:w="2450" w:type="pct"/>
                  <w:vAlign w:val="top"/>
                </w:tcPr>
                <w:p>
                  <w:r>
                    <w:t xml:space="preserve">02765M, 02766N</w:t>
                  </w:r>
                </w:p>
              </w:tc>
              <w:tc>
                <w:tcPr>
                  <w:tcW w:w="1500" w:type="pct"/>
                  <w:vAlign w:val="top"/>
                </w:tcPr>
                <w:p>
                  <w:r>
                    <w:t xml:space="preserve"> </w:t>
                  </w:r>
                </w:p>
              </w:tc>
            </w:tr>
            <w:tr>
              <w:trPr/>
              <w:tc>
                <w:tcPr>
                  <w:tcW w:w="200" w:type="pct"/>
                  <w:vMerge/>
                </w:tcPr>
                <w:p/>
              </w:tc>
              <w:tc>
                <w:tcPr>
                  <w:tcW w:w="750" w:type="pct"/>
                  <w:vAlign w:val="top"/>
                </w:tcPr>
                <w:p>
                  <w:r>
                    <w:t xml:space="preserve">LURASIDONE</w:t>
                  </w:r>
                </w:p>
              </w:tc>
              <w:tc>
                <w:tcPr>
                  <w:tcW w:w="2450" w:type="pct"/>
                  <w:vAlign w:val="top"/>
                </w:tcPr>
                <w:p>
                  <w:r>
                    <w:t xml:space="preserve">10526B, 10529E</w:t>
                  </w:r>
                </w:p>
              </w:tc>
              <w:tc>
                <w:tcPr>
                  <w:tcW w:w="1500" w:type="pct"/>
                  <w:vAlign w:val="top"/>
                </w:tcPr>
                <w:p>
                  <w:r>
                    <w:t xml:space="preserve">Not included in the specifications used for the Atlas 2015. Listed from 1 Nov 2015 onwards.</w:t>
                  </w:r>
                </w:p>
              </w:tc>
            </w:tr>
            <w:tr>
              <w:trPr/>
              <w:tc>
                <w:tcPr>
                  <w:tcW w:w="200" w:type="pct"/>
                  <w:vMerge/>
                </w:tcPr>
                <w:p/>
              </w:tc>
              <w:tc>
                <w:tcPr>
                  <w:tcW w:w="750" w:type="pct"/>
                  <w:vAlign w:val="top"/>
                </w:tcPr>
                <w:p>
                  <w:r>
                    <w:t xml:space="preserve">OLANZAPINE</w:t>
                  </w:r>
                </w:p>
              </w:tc>
              <w:tc>
                <w:tcPr>
                  <w:tcW w:w="2450" w:type="pct"/>
                  <w:vAlign w:val="top"/>
                </w:tcPr>
                <w:p>
                  <w:r>
                    <w:t xml:space="preserve">01024X, 01037N, 01041T, 01042W, 03381Y, 03382B, 03384D, 03385E, 08170B, 08185T, 08186W, 08187X, 08433W, 08434X, 08952E, 08953F, 09294E, 09295F, 09303P</w:t>
                  </w:r>
                </w:p>
              </w:tc>
              <w:tc>
                <w:tcPr>
                  <w:tcW w:w="1500" w:type="pct"/>
                  <w:vAlign w:val="top"/>
                </w:tcPr>
                <w:p>
                  <w:r>
                    <w:t xml:space="preserve"> </w:t>
                  </w:r>
                </w:p>
              </w:tc>
            </w:tr>
            <w:tr>
              <w:trPr/>
              <w:tc>
                <w:tcPr>
                  <w:tcW w:w="200" w:type="pct"/>
                  <w:vMerge/>
                </w:tcPr>
                <w:p/>
              </w:tc>
              <w:tc>
                <w:tcPr>
                  <w:tcW w:w="750" w:type="pct"/>
                  <w:vAlign w:val="top"/>
                </w:tcPr>
                <w:p>
                  <w:r>
                    <w:t xml:space="preserve">PALIPERIDONE</w:t>
                  </w:r>
                </w:p>
              </w:tc>
              <w:tc>
                <w:tcPr>
                  <w:tcW w:w="2450" w:type="pct"/>
                  <w:vAlign w:val="top"/>
                </w:tcPr>
                <w:p>
                  <w:r>
                    <w:t xml:space="preserve">05100K, 05102M, 05103N, 05107T, 05109X, 09140C, 09141D, 09142E, 11066K, 11072R, 11085K, 11094X</w:t>
                  </w:r>
                </w:p>
              </w:tc>
              <w:tc>
                <w:tcPr>
                  <w:tcW w:w="1500" w:type="pct"/>
                  <w:vAlign w:val="top"/>
                </w:tcPr>
                <w:p>
                  <w:r>
                    <w:t xml:space="preserve">11066K, 11072R, 11085K, 11094X </w:t>
                  </w:r>
                </w:p>
                <w:p>
                  <w:r>
                    <w:t xml:space="preserve">(Listed from 1 Apr 2017 onwards)</w:t>
                  </w:r>
                </w:p>
              </w:tc>
            </w:tr>
            <w:tr>
              <w:trPr/>
              <w:tc>
                <w:tcPr>
                  <w:tcW w:w="200" w:type="pct"/>
                  <w:vMerge/>
                </w:tcPr>
                <w:p/>
              </w:tc>
              <w:tc>
                <w:tcPr>
                  <w:tcW w:w="750" w:type="pct"/>
                  <w:vAlign w:val="top"/>
                </w:tcPr>
                <w:p>
                  <w:r>
                    <w:t xml:space="preserve">PERICYAZINE</w:t>
                  </w:r>
                </w:p>
              </w:tc>
              <w:tc>
                <w:tcPr>
                  <w:tcW w:w="2450" w:type="pct"/>
                  <w:vAlign w:val="top"/>
                </w:tcPr>
                <w:p>
                  <w:r>
                    <w:t xml:space="preserve">03052P, 03053Q</w:t>
                  </w:r>
                </w:p>
              </w:tc>
              <w:tc>
                <w:tcPr>
                  <w:tcW w:w="1500" w:type="pct"/>
                  <w:vAlign w:val="top"/>
                </w:tcPr>
                <w:p>
                  <w:r>
                    <w:t xml:space="preserve">Not included in the specifications used for the Atlas 2015</w:t>
                  </w:r>
                </w:p>
              </w:tc>
            </w:tr>
            <w:tr>
              <w:trPr/>
              <w:tc>
                <w:tcPr>
                  <w:tcW w:w="200" w:type="pct"/>
                  <w:vMerge/>
                </w:tcPr>
                <w:p/>
              </w:tc>
              <w:tc>
                <w:tcPr>
                  <w:tcW w:w="750" w:type="pct"/>
                  <w:vAlign w:val="top"/>
                </w:tcPr>
                <w:p>
                  <w:r>
                    <w:t xml:space="preserve">QUETIAPINE</w:t>
                  </w:r>
                </w:p>
              </w:tc>
              <w:tc>
                <w:tcPr>
                  <w:tcW w:w="2450" w:type="pct"/>
                  <w:vAlign w:val="top"/>
                </w:tcPr>
                <w:p>
                  <w:r>
                    <w:t xml:space="preserve">05458G, 08456C, 08457D, 08458E, 08580N, 09202H, 09203J, 09204K, 09205L</w:t>
                  </w:r>
                </w:p>
              </w:tc>
              <w:tc>
                <w:tcPr>
                  <w:tcW w:w="1500" w:type="pct"/>
                  <w:vAlign w:val="top"/>
                </w:tcPr>
                <w:p>
                  <w:r>
                    <w:t xml:space="preserve"> </w:t>
                  </w:r>
                </w:p>
              </w:tc>
            </w:tr>
            <w:tr>
              <w:trPr/>
              <w:tc>
                <w:tcPr>
                  <w:tcW w:w="200" w:type="pct"/>
                  <w:vMerge/>
                </w:tcPr>
                <w:p/>
              </w:tc>
              <w:tc>
                <w:tcPr>
                  <w:tcW w:w="750" w:type="pct"/>
                  <w:vAlign w:val="top"/>
                </w:tcPr>
                <w:p>
                  <w:r>
                    <w:t xml:space="preserve">RISPERIDONE</w:t>
                  </w:r>
                </w:p>
              </w:tc>
              <w:tc>
                <w:tcPr>
                  <w:tcW w:w="2450" w:type="pct"/>
                  <w:vAlign w:val="top"/>
                </w:tcPr>
                <w:p>
                  <w:r>
                    <w:t xml:space="preserve">01842Y, 01846E, 03169T, 03170W, 03171X, 03172Y, 08100H, 08780D, 08781E, 08782F, 08787L, 08788M, 08789N, 08790P, 08792R, 08794W, 08869T, 08870W, 09075P, 09076Q, 09079W, 09080X, 09293D</w:t>
                  </w:r>
                </w:p>
              </w:tc>
              <w:tc>
                <w:tcPr>
                  <w:tcW w:w="1500" w:type="pct"/>
                  <w:vAlign w:val="top"/>
                </w:tcPr>
                <w:p>
                  <w:r>
                    <w:t xml:space="preserve">08788M, 08790P, 08792R, 08794W, 08870W, 09075P, 09076Q, 09080X (Delisted after 30 Apr 2016)</w:t>
                  </w:r>
                </w:p>
              </w:tc>
            </w:tr>
            <w:tr>
              <w:trPr/>
              <w:tc>
                <w:tcPr>
                  <w:tcW w:w="200" w:type="pct"/>
                  <w:vMerge/>
                </w:tcPr>
                <w:p/>
              </w:tc>
              <w:tc>
                <w:tcPr>
                  <w:tcW w:w="750" w:type="pct"/>
                  <w:vAlign w:val="top"/>
                </w:tcPr>
                <w:p>
                  <w:r>
                    <w:t xml:space="preserve">TRIFLUOPERAZINE</w:t>
                  </w:r>
                </w:p>
              </w:tc>
              <w:tc>
                <w:tcPr>
                  <w:tcW w:w="2450" w:type="pct"/>
                  <w:vAlign w:val="top"/>
                </w:tcPr>
                <w:p>
                  <w:r>
                    <w:t xml:space="preserve">02185B, 02186C, 02386N</w:t>
                  </w:r>
                </w:p>
              </w:tc>
              <w:tc>
                <w:tcPr>
                  <w:tcW w:w="1500" w:type="pct"/>
                  <w:vAlign w:val="top"/>
                </w:tcPr>
                <w:p>
                  <w:r>
                    <w:t xml:space="preserve"> </w:t>
                  </w:r>
                </w:p>
              </w:tc>
            </w:tr>
            <w:tr>
              <w:trPr/>
              <w:tc>
                <w:tcPr>
                  <w:tcW w:w="200" w:type="pct"/>
                  <w:vMerge/>
                </w:tcPr>
                <w:p/>
              </w:tc>
              <w:tc>
                <w:tcPr>
                  <w:tcW w:w="750" w:type="pct"/>
                  <w:vAlign w:val="top"/>
                </w:tcPr>
                <w:p>
                  <w:r>
                    <w:t xml:space="preserve">ZIPRASIDONE</w:t>
                  </w:r>
                </w:p>
              </w:tc>
              <w:tc>
                <w:tcPr>
                  <w:tcW w:w="2450" w:type="pct"/>
                  <w:vAlign w:val="top"/>
                </w:tcPr>
                <w:p>
                  <w:r>
                    <w:t xml:space="preserve">09070J, 09071K, 09072L, 09073M</w:t>
                  </w:r>
                </w:p>
              </w:tc>
              <w:tc>
                <w:tcPr>
                  <w:tcW w:w="1500" w:type="pct"/>
                  <w:vAlign w:val="top"/>
                </w:tcPr>
                <w:p>
                  <w:r>
                    <w:t xml:space="preserve"> </w:t>
                  </w:r>
                </w:p>
              </w:tc>
            </w:tr>
            <w:tr>
              <w:trPr/>
              <w:tc>
                <w:tcPr>
                  <w:tcW w:w="200" w:type="pct"/>
                  <w:vMerge/>
                </w:tcPr>
                <w:p/>
              </w:tc>
              <w:tc>
                <w:tcPr>
                  <w:tcW w:w="750" w:type="pct"/>
                  <w:vAlign w:val="top"/>
                </w:tcPr>
                <w:p>
                  <w:r>
                    <w:t xml:space="preserve">ZUCLOPENTHIXOL DECANOATE</w:t>
                  </w:r>
                </w:p>
              </w:tc>
              <w:tc>
                <w:tcPr>
                  <w:tcW w:w="2450" w:type="pct"/>
                  <w:vAlign w:val="top"/>
                </w:tcPr>
                <w:p>
                  <w:r>
                    <w:t xml:space="preserve">08097E</w:t>
                  </w:r>
                </w:p>
              </w:tc>
              <w:tc>
                <w:tcPr>
                  <w:tcW w:w="1500" w:type="pct"/>
                  <w:vAlign w:val="top"/>
                </w:tcPr>
                <w:p>
                  <w:r>
                    <w:t xml:space="preserve"> </w:t>
                  </w:r>
                </w:p>
              </w:tc>
            </w:tr>
          </w:tbl>
          <w:p>
            <w:r>
              <w:t xml:space="preserve"> </w:t>
            </w:r>
          </w:p>
          <w:p>
            <w:r>
              <w:t xml:space="preserve"> </w:t>
            </w:r>
          </w:p>
          <w:p>
            <w:r>
              <w:t xml:space="preserve">Presented as the following rates:</w:t>
            </w:r>
          </w:p>
          <w:p>
            <w:r>
              <w:t xml:space="preserve"> </w:t>
            </w:r>
          </w:p>
          <w:p>
            <w:r>
              <w:t xml:space="preserve">number of prescriptions per 100,000 people</w:t>
            </w:r>
          </w:p>
          <w:p>
            <w:r>
              <w:t xml:space="preserve">number of patients per 100,000 </w:t>
            </w:r>
            <w:r>
              <w:t xml:space="preserve">people</w:t>
            </w:r>
          </w:p>
          <w:p>
            <w:r>
              <w:t xml:space="preserve">number of defined daily doses (DDD) per 1,000 </w:t>
            </w:r>
            <w:r>
              <w:t xml:space="preserve">people</w:t>
            </w:r>
            <w:r>
              <w:t xml:space="preserve"> per day</w:t>
            </w:r>
          </w:p>
          <w:p>
            <w:r>
              <w:t xml:space="preserve"> </w:t>
            </w:r>
          </w:p>
          <w:p>
            <w:r>
              <w:t xml:space="preserve">Rates are directly age-sex standardised, to the 2001 Australian population, aged (i) 17 years and under, using 5-year age groups: 0-4, 5-9, 10-14 and 15-17, (ii) 18 to 64 years, using 5-year age groups: 18-24, 25-29, … , 55-59 and 60-64, (iii) 65 years and over, using 5-year age groups: 65-69, 70-74, … , 80-84, 85 and over.</w:t>
            </w:r>
          </w:p>
          <w:p>
            <w:r>
              <w:t xml:space="preserve">For more information about age-standardisation in general see </w:t>
            </w:r>
            <w:hyperlink w:history="true" r:id="R2eabc8cfca294238">
              <w:r>
                <w:rPr>
                  <w:rStyle w:val="Hyperlink"/>
                </w:rPr>
                <w:t xml:space="preserve">/content/index.phtml/itemId/327276</w:t>
              </w:r>
            </w:hyperlink>
          </w:p>
          <w:p>
            <w:r>
              <w:t xml:space="preserve"> </w:t>
            </w:r>
          </w:p>
          <w:p>
            <w:r>
              <w:t xml:space="preserve">A patient’s age is calculated in years as the difference between the patient’s date of birth and date of supply for the prescription. </w:t>
            </w:r>
            <w:r>
              <w:t xml:space="preserve">Date of birth and sex are as reported on a patient’s last prescription for any drug, extracted on 18/04/2018.</w:t>
            </w:r>
            <w:r>
              <w:t xml:space="preserve"> </w:t>
            </w:r>
          </w:p>
          <w:p>
            <w:r>
              <w:t xml:space="preserve">Prescriptions are allocated to a financial year based on the date the medicine was supplied to the patient. For example for 2016–17, the date of supply is between 1 July 2016 and 30 June 2017. </w:t>
            </w:r>
          </w:p>
          <w:p>
            <w:r>
              <w:rPr>
                <w:color w:val="000000"/>
              </w:rPr>
              <w:t xml:space="preserve">Analysis by Statistical Area Level 3 (SA3) 2016 is based on the patient's </w:t>
            </w:r>
            <w:r>
              <w:rPr>
                <w:color w:val="000000"/>
              </w:rPr>
              <w:t xml:space="preserve">enrolment postcode</w:t>
            </w:r>
            <w:r>
              <w:t xml:space="preserve"> as last reported by the patient to Medicare, valid at date of supply.</w:t>
            </w:r>
            <w:r>
              <w:t xml:space="preserve"> </w:t>
            </w:r>
          </w:p>
          <w:p>
            <w:r>
              <w:t xml:space="preserve"> </w:t>
            </w:r>
          </w:p>
          <w:p>
            <w:r>
              <w:t xml:space="preserve">Suppress data (number and rate) if at least one of the following conditions are met:</w:t>
            </w:r>
          </w:p>
          <w:p>
            <w:r>
              <w:t xml:space="preserve">the total denominator is less than 1,000</w:t>
            </w:r>
          </w:p>
          <w:p>
            <w:r>
              <w:t xml:space="preserve">the total numerator is less than 20.</w:t>
            </w:r>
            <w:r>
              <w:t xml:space="preserve">    </w:t>
            </w:r>
          </w:p>
          <w:p>
            <w:r>
              <w:t xml:space="preserve"> </w:t>
            </w:r>
            <w:r>
              <w:rPr>
                <w:sz w:val="30"/>
              </w:rPr>
              <w:t xml:space="preserve">Age-sex standardised rates are also suppressed where the denominator for at least one of the age-sex groups used to calculate the rate is below 30 </w:t>
            </w:r>
            <w:r>
              <w:rPr>
                <w:color w:val="000000"/>
                <w:sz w:val="30"/>
              </w:rPr>
              <w:t xml:space="preserve">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8b03d2399012451e">
              <w:r>
                <w:rPr>
                  <w:rStyle w:val="Hyperlink"/>
                  <w:color w:val="000000"/>
                  <w:sz w:val="30"/>
                </w:rPr>
                <w:t xml:space="preserve">Technical supplement of the Third Atlas.</w:t>
              </w:r>
            </w:hyperlink>
            <w:hyperlink w:history="true" r:id="R7219433ef7884bb8">
              <w:r>
                <w:rPr>
                  <w:rStyle w:val="Hyperlink"/>
                  <w:color w:val="000000"/>
                  <w:sz w:val="30"/>
                </w:rPr>
                <w:t xml:space="preserve"> </w:t>
              </w:r>
            </w:hyperlink>
            <w:r>
              <w:rPr>
                <w:color w:val="000000"/>
                <w:sz w:val="30"/>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rPr>
              <w:t xml:space="preserve">(a), (b)</w:t>
            </w:r>
            <w:r>
              <w:rPr>
                <w:rStyle w:val="row-content-rich-text"/>
                <w:color w:val="000000"/>
              </w:rPr>
              <w:t xml:space="preserve">  </w:t>
            </w:r>
            <w:r>
              <w:rPr>
                <w:rStyle w:val="row-content-rich-text"/>
              </w:rPr>
              <w:t xml:space="preserve">[Numerator ÷ Denominator] x 100,000 </w:t>
            </w:r>
          </w:p>
          <w:p>
            <w:pPr/>
            <w:r>
              <w:rPr>
                <w:rStyle w:val="row-content-rich-text"/>
              </w:rPr>
              <w:t xml:space="preserve">(</w:t>
            </w:r>
            <w:r>
              <w:rPr>
                <w:rStyle w:val="row-content-rich-text"/>
              </w:rPr>
              <w:t xml:space="preserve">c) ([Numerator x 1,000] ÷ [Denominator x 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2013-14, 2014-15, 2015-16 and 2016-17:</w:t>
            </w:r>
          </w:p>
          <w:p>
            <w:pPr>
              <w:spacing w:after="160"/>
            </w:pPr>
            <w:r>
              <w:rPr>
                <w:rStyle w:val="row-content-rich-text"/>
              </w:rPr>
              <w:t xml:space="preserve">Number of antipsychotic prescriptions dispensed, </w:t>
            </w:r>
            <w:r>
              <w:rPr>
                <w:rStyle w:val="row-content-rich-text"/>
              </w:rPr>
              <w:t xml:space="preserve">(i) 17 years and under, (ii) 18 to 64 years, (iii) 65 years and over</w:t>
            </w:r>
          </w:p>
          <w:p>
            <w:pPr>
              <w:spacing w:after="160"/>
            </w:pPr>
            <w:r>
              <w:rPr>
                <w:rStyle w:val="row-content-rich-text"/>
              </w:rPr>
              <w:t xml:space="preserve">Number of patients dispensed at least one antipsychotic prescription, </w:t>
            </w:r>
            <w:r>
              <w:rPr>
                <w:rStyle w:val="row-content-rich-text"/>
              </w:rPr>
              <w:t xml:space="preserve">(i) 17 years and under, (ii) 18 to 64 years, (iii) 65 years and over </w:t>
            </w:r>
          </w:p>
          <w:p>
            <w:pPr/>
            <w:r>
              <w:rPr>
                <w:rStyle w:val="row-content-rich-text"/>
              </w:rPr>
              <w:t xml:space="preserve">Number of DDD of antipsychotic medicines dispensed [mass amount x quantity dispensed ÷ DDD amount], </w:t>
            </w:r>
            <w:r>
              <w:rPr>
                <w:rStyle w:val="row-content-rich-text"/>
              </w:rPr>
              <w:t xml:space="preserve">(i) 17 years and under, (ii) 18 to 64 years, (iii)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Pharmaceutical Benefits Scheme (PBS) prescription—mass amount, N(14.5)</w:t>
            </w:r>
          </w:p>
          <w:p>
            <w:r>
              <w:rPr>
                <w:rStyle w:val="row-content"/>
              </w:rPr>
              <w:t xml:space="preserve">PBS and RPBS data 2013-14, 2014-15, 2015-16 and 2016-17 extracted on 30/04/2018</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Pharmaceutical Benefits Scheme (PBS) prescription—</w:t>
            </w:r>
            <w:r>
              <w:rPr>
                <w:rStyle w:val="row-content"/>
              </w:rPr>
              <w:t xml:space="preserve">Anatomical Therapeutic Chemical (ATC) code, ANN(AANN)</w:t>
            </w:r>
          </w:p>
          <w:p>
            <w:r>
              <w:rPr>
                <w:rStyle w:val="row-content"/>
              </w:rPr>
              <w:t xml:space="preserve">PBS and RPBS data 2013-14, 2014-15, 2015-16 and 2016-17 extracted on 30/04/2018</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b/>
              </w:rPr>
              <w:t xml:space="preserve">Data Element / Data Set</w:t>
            </w:r>
            <w:r>
              <w:br/>
            </w:r>
            <w:r>
              <w:rPr>
                <w:rStyle w:val="row-content"/>
              </w:rPr>
              <w:t xml:space="preserve">Defined daily dose amount, N(3.3)</w:t>
            </w:r>
            <w:r>
              <w:br/>
            </w:r>
            <w:r>
              <w:rPr>
                <w:rStyle w:val="row-content"/>
                <w:b/>
              </w:rPr>
              <w:t xml:space="preserve">Data Source</w:t>
            </w:r>
            <w:r>
              <w:br/>
            </w:r>
            <w:r>
              <w:rPr>
                <w:rStyle w:val="row-content"/>
              </w:rPr>
              <w:t xml:space="preserve">WHO Collaborating Centre for Drug Statistics Methodology</w:t>
            </w:r>
          </w:p>
          <w:p>
            <w:r>
              <w:rPr>
                <w:rStyle w:val="row-content"/>
              </w:rPr>
              <w:t xml:space="preserve"> </w:t>
            </w:r>
          </w:p>
          <w:p>
            <w:r>
              <w:rPr>
                <w:rStyle w:val="row-content"/>
                <w:b/>
                <w:color w:val="000000"/>
              </w:rPr>
              <w:t xml:space="preserve">Data Element / Data Set</w:t>
            </w:r>
          </w:p>
          <w:p>
            <w:hyperlink w:history="true" r:id="R4cbeb936dfa14793">
              <w:r>
                <w:rPr>
                  <w:rStyle w:val="Hyperlink"/>
                </w:rPr>
                <w:t xml:space="preserve">Person—date of birth, DDMMYYYY</w:t>
              </w:r>
            </w:hyperlink>
          </w:p>
          <w:p>
            <w:r>
              <w:rPr>
                <w:rStyle w:val="row-content"/>
                <w:b/>
                <w:color w:val="000000"/>
              </w:rPr>
              <w:t xml:space="preserve">Data Element / Data Set</w:t>
            </w:r>
          </w:p>
          <w:p>
            <w:hyperlink w:history="true" r:id="R597280676ebb4355">
              <w:r>
                <w:rPr>
                  <w:rStyle w:val="Hyperlink"/>
                </w:rPr>
                <w:t xml:space="preserve">Pharmaceutical Benefits Scheme (PBS) prescription—PBS item prescribed, code NN[NNN]A</w:t>
              </w:r>
            </w:hyperlink>
          </w:p>
          <w:p>
            <w:r>
              <w:rPr>
                <w:rStyle w:val="row-content"/>
                <w:b/>
                <w:color w:val="000000"/>
              </w:rPr>
              <w:t xml:space="preserve">Data Element / Data Set</w:t>
            </w:r>
          </w:p>
          <w:p>
            <w:hyperlink w:history="true" r:id="R1b8220cc7b0b4686">
              <w:r>
                <w:rPr>
                  <w:rStyle w:val="Hyperlink"/>
                </w:rPr>
                <w:t xml:space="preserve">Pharmaceutical Benefits Scheme (PBS) prescription—patient identifier, identifier N(9)</w:t>
              </w:r>
            </w:hyperlink>
          </w:p>
          <w:p>
            <w:r>
              <w:rPr>
                <w:rStyle w:val="row-content"/>
                <w:b/>
                <w:color w:val="000000"/>
              </w:rPr>
              <w:t xml:space="preserve">Data Element / Data Set</w:t>
            </w:r>
          </w:p>
          <w:p>
            <w:hyperlink w:history="true" r:id="R3fb1c1b005ed44a2">
              <w:r>
                <w:rPr>
                  <w:rStyle w:val="Hyperlink"/>
                </w:rPr>
                <w:t xml:space="preserve">Pharmaceutical Benefits Scheme (PBS) prescription—quantity of PBS item supplied, total number N[NNN]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3a80164866d4695">
              <w:r>
                <w:rPr>
                  <w:rStyle w:val="Hyperlink"/>
                </w:rPr>
                <w:t xml:space="preserve">Person—sex, code A</w:t>
              </w:r>
            </w:hyperlink>
          </w:p>
          <w:p>
            <w:r>
              <w:rPr>
                <w:rStyle w:val="row-content"/>
                <w:b/>
                <w:color w:val="000000"/>
              </w:rPr>
              <w:t xml:space="preserve">Data Element / Data Set</w:t>
            </w:r>
          </w:p>
          <w:p>
            <w:hyperlink w:history="true" r:id="R2a1852bb17694e14">
              <w:r>
                <w:rPr>
                  <w:rStyle w:val="Hyperlink"/>
                </w:rPr>
                <w:t xml:space="preserve">Pharmaceutical Benefits Scheme (PBS) prescription—date of supply,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2013, 2014, 2015 and 2016:</w:t>
            </w:r>
          </w:p>
          <w:p>
            <w:pPr/>
            <w:r>
              <w:rPr>
                <w:rStyle w:val="row-content-rich-text"/>
                <w:color w:val="000000"/>
              </w:rPr>
              <w:t xml:space="preserve">(a), (b), (c)</w:t>
            </w:r>
            <w:r>
              <w:rPr>
                <w:rStyle w:val="row-content-rich-text"/>
                <w:color w:val="000000"/>
              </w:rPr>
              <w:t xml:space="preserve">  </w:t>
            </w:r>
            <w:r>
              <w:rPr>
                <w:rStyle w:val="row-content-rich-text"/>
              </w:rPr>
              <w:t xml:space="preserve">Total population, aged </w:t>
            </w:r>
            <w:r>
              <w:rPr>
                <w:rStyle w:val="row-content-rich-text"/>
              </w:rPr>
              <w:t xml:space="preserve">(i) 17 years and under, (ii) 18 to 64 years, (iii)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0f0ae4a6b8e4d57">
              <w:r>
                <w:rPr>
                  <w:rStyle w:val="Hyperlink"/>
                </w:rPr>
                <w:t xml:space="preserve">Person—estimated resident population of Australia, total people N[N(7)]</w:t>
              </w:r>
            </w:hyperlink>
          </w:p>
          <w:p>
            <w:r>
              <w:rPr>
                <w:rStyle w:val="row-content"/>
                <w:b/>
              </w:rPr>
              <w:t xml:space="preserve">Data Source</w:t>
            </w:r>
          </w:p>
          <w:p>
            <w:hyperlink w:history="true" r:id="R1a4c8038e25c4c4c">
              <w:r>
                <w:rPr>
                  <w:rStyle w:val="Hyperlink"/>
                </w:rPr>
                <w:t xml:space="preserve">ABS Australian Demographic Statistics</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 </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disaggregated by individual year. </w:t>
            </w:r>
          </w:p>
          <w:p>
            <w:pPr>
              <w:spacing w:after="160"/>
            </w:pPr>
            <w:r>
              <w:rPr>
                <w:rStyle w:val="row-content-rich-text"/>
              </w:rPr>
              <w:t xml:space="preserve">(a) SA3 2016 by:</w:t>
            </w:r>
          </w:p>
          <w:p>
            <w:pPr>
              <w:spacing w:after="160"/>
            </w:pPr>
            <w:r>
              <w:rPr>
                <w:rStyle w:val="row-content-rich-text"/>
              </w:rPr>
              <w:t xml:space="preserve">• remoteness (ASGS Remoteness structure 2016) and Socio-Economic Indexes for Areas (SEIFA 2016) Index of Relative Socioeconomic Disadvantage (IRSD 2016)</w:t>
            </w:r>
          </w:p>
          <w:p>
            <w:pPr>
              <w:spacing w:after="160"/>
            </w:pPr>
            <w:r>
              <w:rPr>
                <w:rStyle w:val="row-content-rich-text"/>
              </w:rPr>
              <w:t xml:space="preserve">Primary Health Network (</w:t>
            </w:r>
            <w:r>
              <w:rPr>
                <w:rStyle w:val="row-content-rich-text"/>
              </w:rPr>
              <w:t xml:space="preserve">PHN) 2017</w:t>
            </w:r>
          </w:p>
          <w:p>
            <w:pPr>
              <w:spacing w:after="160"/>
            </w:pPr>
            <w:r>
              <w:rPr>
                <w:rStyle w:val="row-content-rich-text"/>
              </w:rPr>
              <w:t xml:space="preserve">State and territory by:</w:t>
            </w:r>
          </w:p>
          <w:p>
            <w:pPr>
              <w:spacing w:after="160"/>
            </w:pPr>
            <w:r>
              <w:rPr>
                <w:rStyle w:val="row-content-rich-text"/>
              </w:rPr>
              <w:t xml:space="preserve">age group (17 years and under, 18 to 64 years, 65 years and over)</w:t>
            </w:r>
          </w:p>
          <w:p>
            <w:pPr>
              <w:spacing w:after="160"/>
            </w:pPr>
            <w:r>
              <w:rPr>
                <w:rStyle w:val="row-content-rich-text"/>
              </w:rPr>
              <w:t xml:space="preserve">prescriber type (GP, psychiatrist and other)</w:t>
            </w:r>
          </w:p>
          <w:p>
            <w:pPr>
              <w:spacing w:after="160"/>
            </w:pPr>
            <w:r>
              <w:rPr>
                <w:rStyle w:val="row-content-rich-text"/>
              </w:rPr>
              <w:t xml:space="preserve">(b) State and territory </w:t>
            </w:r>
          </w:p>
          <w:p>
            <w:pPr>
              <w:spacing w:after="160"/>
            </w:pPr>
            <w:r>
              <w:rPr>
                <w:rStyle w:val="row-content-rich-text"/>
              </w:rPr>
              <w:t xml:space="preserve">(c) State and terriroty</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Address—statistical area, level 3 (SA3) code (ASGS 2016) NNNNN</w:t>
            </w:r>
          </w:p>
          <w:p>
            <w:r>
              <w:rPr>
                <w:rStyle w:val="row-content"/>
              </w:rPr>
              <w:t xml:space="preserve"> </w:t>
            </w:r>
          </w:p>
          <w:p>
            <w:r>
              <w:rPr>
                <w:rStyle w:val="row-content"/>
                <w:b/>
                <w:color w:val="000000"/>
              </w:rPr>
              <w:t xml:space="preserve">Data Element / Data Set</w:t>
            </w:r>
          </w:p>
          <w:p>
            <w:hyperlink w:history="true" r:id="R44b6c9d93a224613">
              <w:r>
                <w:rPr>
                  <w:rStyle w:val="Hyperlink"/>
                </w:rPr>
                <w:t xml:space="preserve">Person—date of birth, DDMMYYYY</w:t>
              </w:r>
            </w:hyperlink>
          </w:p>
          <w:p>
            <w:r>
              <w:rPr>
                <w:rStyle w:val="row-content"/>
                <w:b/>
                <w:color w:val="000000"/>
              </w:rPr>
              <w:t xml:space="preserve">Data Element / Data Set</w:t>
            </w:r>
          </w:p>
          <w:p>
            <w:hyperlink w:history="true" r:id="Rf5622bcd77454dec">
              <w:r>
                <w:rPr>
                  <w:rStyle w:val="Hyperlink"/>
                </w:rPr>
                <w:t xml:space="preserve">Pharmaceutical Benefits Scheme (PBS) prescription—specialty of prescriber, subspecialty code NNNNNN</w:t>
              </w:r>
            </w:hyperlink>
          </w:p>
          <w:p>
            <w:r>
              <w:rPr>
                <w:rStyle w:val="row-content"/>
                <w:b/>
              </w:rPr>
              <w:t xml:space="preserve">Guide for use</w:t>
            </w:r>
          </w:p>
          <w:p>
            <w:r>
              <w:rPr>
                <w:rStyle w:val="row-content"/>
              </w:rPr>
              <w:t xml:space="preserve"> </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d7838cd0ac95429d">
              <w:r>
                <w:rPr>
                  <w:rStyle w:val="Hyperlink"/>
                </w:rPr>
                <w:t xml:space="preserve">Address—Australian postcode, code (Postcode datafile)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Prescribing event (b) Person (c) Defined Daily Dose</w:t>
            </w:r>
          </w:p>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80fecd8148d4b54">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ABS publication, Population by Age and Sex, Regions of Australia, 2016. ABS. cat. no. 3235.0.</w:t>
            </w:r>
          </w:p>
          <w:p>
            <w:pPr>
              <w:spacing w:after="160"/>
            </w:pPr>
            <w:r>
              <w:rPr>
                <w:rStyle w:val="row-content-rich-text"/>
              </w:rPr>
              <w:t xml:space="preserve">The Anatomical Therapeutic Chemical (ATC) code is recommended by the World Health Organization (WHO) as an internationally accepted classification for presenting and comparing drug usage data. Since 1982, the WHO Collaborating Centre for Drug Statistics Methodology (WHOCC), located in Norway, has been the central body responsible for coordinating ATC use. Note that the ATC codes used in this specification are from the Australian Department of Health’s version of the WHO ATC classifications, which have some minor differences from the WHO version, based upon a particular drug’s usage in Australia. The Department of Health’s ATC version is available at </w:t>
            </w:r>
            <w:hyperlink w:history="true" r:id="R622c570060dc42b8">
              <w:r>
                <w:rPr>
                  <w:rStyle w:val="Hyperlink"/>
                </w:rPr>
                <w:t xml:space="preserve">http://www.pbs.gov.au/browse/body-system</w:t>
              </w:r>
            </w:hyperlink>
            <w:r>
              <w:rPr>
                <w:rStyle w:val="row-content-rich-text"/>
              </w:rPr>
              <w:t xml:space="preserve">.</w:t>
            </w:r>
          </w:p>
          <w:p>
            <w:pPr>
              <w:spacing w:after="160"/>
            </w:pPr>
            <w:r>
              <w:rPr>
                <w:rStyle w:val="row-content-rich-text"/>
              </w:rPr>
              <w:t xml:space="preserve"> </w:t>
            </w:r>
            <w:r>
              <w:rPr>
                <w:rStyle w:val="row-content-rich-text"/>
                <w:color w:val="000000"/>
              </w:rPr>
              <w:t xml:space="preserve">Further information on DDD/1,000/day </w:t>
            </w:r>
            <w:r>
              <w:rPr>
                <w:rStyle w:val="row-content-rich-text"/>
              </w:rPr>
              <w:t xml:space="preserve">is available at</w:t>
            </w:r>
            <w:r>
              <w:rPr>
                <w:rStyle w:val="row-content-rich-text"/>
              </w:rPr>
              <w:t xml:space="preserve"> </w:t>
            </w:r>
            <w:hyperlink w:history="true" r:id="Rd98ba2e571a1419a">
              <w:r>
                <w:rPr>
                  <w:rStyle w:val="Hyperlink"/>
                  <w:color w:val="0000FF"/>
                </w:rPr>
                <w:t xml:space="preserve">http://www.who.int/medicines/regulation/medicines-safety/toolkit_indicators/en/index1.html</w:t>
              </w:r>
              <w:r>
                <w:rPr>
                  <w:rStyle w:val="row-content-rich-text"/>
                  <w:color w:val="0000FF"/>
                </w:rPr>
                <w:t xml:space="preserve">.</w:t>
              </w:r>
            </w:hyperlink>
          </w:p>
          <w:p>
            <w:pPr/>
            <w:r>
              <w:rPr>
                <w:rStyle w:val="row-content-rich-text"/>
              </w:rPr>
              <w:t xml:space="preserve">DDD amounts are available at </w:t>
            </w:r>
            <w:hyperlink w:history="true" r:id="Ra585a3211588486d">
              <w:r>
                <w:rPr>
                  <w:rStyle w:val="Hyperlink"/>
                </w:rPr>
                <w:t xml:space="preserve">https://www.whocc.no/atc_ddd_index/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The Third Australian Atlas of Healthcare Variation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a68a10a24b24d25">
              <w:r>
                <w:rPr>
                  <w:rStyle w:val="Hyperlink"/>
                </w:rPr>
                <w:t xml:space="preserve">Number of PBS/RPBS prescriptions dispensed for antipsychotic medicines per 100,000 people, aged 65 years and over, 2016–17 to 2020–21</w:t>
              </w:r>
            </w:hyperlink>
          </w:p>
          <w:p>
            <w:pPr>
              <w:spacing w:before="0" w:after="0"/>
            </w:pPr>
            <w:r>
              <w:rPr>
                <w:rStyle w:val="row-content"/>
                <w:color w:val="244061"/>
              </w:rPr>
              <w:t xml:space="preserve">       </w:t>
            </w:r>
            <w:hyperlink w:history="true" r:id="R82462ca1b505476a">
              <w:r>
                <w:rPr>
                  <w:rStyle w:val="Hyperlink"/>
                  <w:color w:val="244061"/>
                </w:rPr>
                <w:t xml:space="preserve">Australian Commission on Safety and Quality in Health Care</w:t>
              </w:r>
            </w:hyperlink>
            <w:r>
              <w:rPr>
                <w:rStyle w:val="row-content"/>
                <w:color w:val="244061"/>
              </w:rPr>
              <w:t xml:space="preserve">, Standard 15/09/2022</w:t>
            </w:r>
          </w:p>
          <w:p>
            <w:r>
              <w:br/>
            </w:r>
          </w:p>
        </w:tc>
      </w:tr>
    </w:tbl>
    <w:p>
      <w:r>
        <w:br/>
      </w:r>
    </w:p>
    <w:sectPr>
      <w:footerReference xmlns:r="http://schemas.openxmlformats.org/officeDocument/2006/relationships" w:type="default" r:id="Rd32f4851f97240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709504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feb276a70e47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2f4851f9724022" /><Relationship Type="http://schemas.openxmlformats.org/officeDocument/2006/relationships/header" Target="/word/header1.xml" Id="R5ac936b2bc544446" /><Relationship Type="http://schemas.openxmlformats.org/officeDocument/2006/relationships/settings" Target="/word/settings.xml" Id="Rfff0c4e67e744c58" /><Relationship Type="http://schemas.openxmlformats.org/officeDocument/2006/relationships/styles" Target="/word/styles.xml" Id="R77964bb653c5421d" /><Relationship Type="http://schemas.openxmlformats.org/officeDocument/2006/relationships/hyperlink" Target="https://meteor.aihw.gov.au/RegistrationAuthority/18" TargetMode="External" Id="R9f4192c4c2ed4325" /><Relationship Type="http://schemas.openxmlformats.org/officeDocument/2006/relationships/hyperlink" Target="https://meteor.aihw.gov.au/content/708955" TargetMode="External" Id="R93f331d831d34762" /><Relationship Type="http://schemas.openxmlformats.org/officeDocument/2006/relationships/hyperlink" Target="https://meteor.aihw.gov.au/RegistrationAuthority/18" TargetMode="External" Id="R711b0ac4442f4450" /><Relationship Type="http://schemas.openxmlformats.org/officeDocument/2006/relationships/numbering" Target="/word/numbering.xml" Id="R8b963d324a534f47" /><Relationship Type="http://schemas.openxmlformats.org/officeDocument/2006/relationships/hyperlink" Target="https://meteor.aihw.gov.au/content/327276" TargetMode="External" Id="R2eabc8cfca294238" /><Relationship Type="http://schemas.openxmlformats.org/officeDocument/2006/relationships/hyperlink" Target="https://www.safetyandquality.gov.au/wp-content/uploads/2018/12/Text-Technical-supplement.pdf" TargetMode="External" Id="R8b03d2399012451e" /><Relationship Type="http://schemas.openxmlformats.org/officeDocument/2006/relationships/hyperlink" Target="https://www.safetyandquality.gov.au/wp-content/uploads/2018/12/Text-Technical-supplement.pdf" TargetMode="External" Id="R7219433ef7884bb8" /><Relationship Type="http://schemas.openxmlformats.org/officeDocument/2006/relationships/hyperlink" Target="https://meteor.aihw.gov.au/content/287007" TargetMode="External" Id="R4cbeb936dfa14793" /><Relationship Type="http://schemas.openxmlformats.org/officeDocument/2006/relationships/hyperlink" Target="https://meteor.aihw.gov.au/content/600778" TargetMode="External" Id="R597280676ebb4355" /><Relationship Type="http://schemas.openxmlformats.org/officeDocument/2006/relationships/hyperlink" Target="https://meteor.aihw.gov.au/content/601236" TargetMode="External" Id="R1b8220cc7b0b4686" /><Relationship Type="http://schemas.openxmlformats.org/officeDocument/2006/relationships/hyperlink" Target="https://meteor.aihw.gov.au/content/601876" TargetMode="External" Id="R3fb1c1b005ed44a2" /><Relationship Type="http://schemas.openxmlformats.org/officeDocument/2006/relationships/hyperlink" Target="https://meteor.aihw.gov.au/content/602450" TargetMode="External" Id="Rc3a80164866d4695" /><Relationship Type="http://schemas.openxmlformats.org/officeDocument/2006/relationships/hyperlink" Target="https://meteor.aihw.gov.au/content/602767" TargetMode="External" Id="R2a1852bb17694e14" /><Relationship Type="http://schemas.openxmlformats.org/officeDocument/2006/relationships/hyperlink" Target="https://meteor.aihw.gov.au/content/388656" TargetMode="External" Id="Re0f0ae4a6b8e4d57" /><Relationship Type="http://schemas.openxmlformats.org/officeDocument/2006/relationships/hyperlink" Target="https://meteor.aihw.gov.au/content/657459" TargetMode="External" Id="R1a4c8038e25c4c4c" /><Relationship Type="http://schemas.openxmlformats.org/officeDocument/2006/relationships/hyperlink" Target="https://meteor.aihw.gov.au/content/287007" TargetMode="External" Id="R44b6c9d93a224613" /><Relationship Type="http://schemas.openxmlformats.org/officeDocument/2006/relationships/hyperlink" Target="https://meteor.aihw.gov.au/content/607133" TargetMode="External" Id="Rf5622bcd77454dec" /><Relationship Type="http://schemas.openxmlformats.org/officeDocument/2006/relationships/hyperlink" Target="https://meteor.aihw.gov.au/content/611398" TargetMode="External" Id="Rd7838cd0ac95429d" /><Relationship Type="http://schemas.openxmlformats.org/officeDocument/2006/relationships/hyperlink" Target="https://meteor.aihw.gov.au/content/657459" TargetMode="External" Id="R480fecd8148d4b54" /><Relationship Type="http://schemas.openxmlformats.org/officeDocument/2006/relationships/hyperlink" Target="http://www.pbs.gov.au/browse/body-system" TargetMode="External" Id="R622c570060dc42b8" /><Relationship Type="http://schemas.openxmlformats.org/officeDocument/2006/relationships/hyperlink" Target="http://www.who.int/medicines/regulation/medicines-safety/toolkit_indicators/en/index1.html" TargetMode="External" Id="Rd98ba2e571a1419a" /><Relationship Type="http://schemas.openxmlformats.org/officeDocument/2006/relationships/hyperlink" Target="https://www.whocc.no/atc_ddd_index/" TargetMode="External" Id="Ra585a3211588486d" /><Relationship Type="http://schemas.openxmlformats.org/officeDocument/2006/relationships/hyperlink" Target="https://meteor.aihw.gov.au/content/752714" TargetMode="External" Id="R1a68a10a24b24d25" /><Relationship Type="http://schemas.openxmlformats.org/officeDocument/2006/relationships/hyperlink" Target="https://meteor.aihw.gov.au/RegistrationAuthority/18" TargetMode="External" Id="R82462ca1b505476a" /></Relationships>
</file>

<file path=word/_rels/header1.xml.rels>&#65279;<?xml version="1.0" encoding="utf-8"?><Relationships xmlns="http://schemas.openxmlformats.org/package/2006/relationships"><Relationship Type="http://schemas.openxmlformats.org/officeDocument/2006/relationships/image" Target="/media/image.png" Id="R89feb276a70e4791" /></Relationships>
</file>