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0b6f9d7efb4f95" /></Relationships>
</file>

<file path=word/document.xml><?xml version="1.0" encoding="utf-8"?>
<w:document xmlns:r="http://schemas.openxmlformats.org/officeDocument/2006/relationships" xmlns:w="http://schemas.openxmlformats.org/wordprocessingml/2006/main">
  <w:body>
    <w:p>
      <w:pPr>
        <w:pStyle w:val="Title"/>
      </w:pPr>
      <w:r>
        <w:t>National Social Housing Survey, 2018;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Social Housing Survey,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bc3569f960474f">
              <w:r>
                <w:rPr>
                  <w:rStyle w:val="Hyperlink"/>
                  <w:color w:val="244061"/>
                </w:rPr>
                <w:t xml:space="preserve">AIHW Data Quality Statements</w:t>
              </w:r>
            </w:hyperlink>
            <w:r>
              <w:rPr>
                <w:rStyle w:val="row-content"/>
                <w:color w:val="244061"/>
              </w:rPr>
              <w:t xml:space="preserve">, Superseded 13/01/2022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2018 National Social Housing Survey (NSHS) collects information from tenants of four social housing programs—public housing (PH) (also referred to as ‘public rental housing’), community housing (CH) (also referred to as ‘mainstream community housing’), state owned and managed Indigenous housing (SOMIH) and Indigenous community housing (ICH—Queensland only).</w:t>
            </w:r>
          </w:p>
          <w:p>
            <w:pPr>
              <w:spacing w:after="160"/>
            </w:pPr>
            <w:r>
              <w:rPr>
                <w:rStyle w:val="row-content-rich-text"/>
                <w:b/>
              </w:rPr>
              <w:t xml:space="preserve">Summary</w:t>
            </w:r>
          </w:p>
          <w:p>
            <w:pPr>
              <w:pStyle w:val="ListParagraph"/>
              <w:numPr>
                <w:ilvl w:val="0"/>
                <w:numId w:val="2"/>
              </w:numPr>
            </w:pPr>
            <w:r>
              <w:rPr>
                <w:rStyle w:val="row-content-rich-text"/>
              </w:rPr>
              <w:t xml:space="preserve">The NSHS provides information on characteristics of tenants, information about their housing histories, the suitability of the housing to the household’s needs, their satisfaction with the services provided by their housing provider and information about their household’s use of other health and community services.</w:t>
            </w:r>
          </w:p>
          <w:p>
            <w:pPr>
              <w:pStyle w:val="ListParagraph"/>
              <w:numPr>
                <w:ilvl w:val="0"/>
                <w:numId w:val="2"/>
              </w:numPr>
            </w:pPr>
            <w:r>
              <w:rPr>
                <w:rStyle w:val="row-content-rich-text"/>
              </w:rPr>
              <w:t xml:space="preserve">The response rate for the mail-out/online component of the 2018 survey was 35.5%; for face-to-face it was 56.4%. Some non-response bias is expected, but this bias has not been measured.</w:t>
            </w:r>
          </w:p>
          <w:p>
            <w:pPr>
              <w:pStyle w:val="ListParagraph"/>
              <w:numPr>
                <w:ilvl w:val="0"/>
                <w:numId w:val="2"/>
              </w:numPr>
            </w:pPr>
            <w:r>
              <w:rPr>
                <w:rStyle w:val="row-content-rich-text"/>
              </w:rPr>
              <w:t xml:space="preserve">Both sampling and non-sampling errors should be considered when interpreting results.</w:t>
            </w:r>
          </w:p>
          <w:p>
            <w:pPr>
              <w:pStyle w:val="ListParagraph"/>
              <w:numPr>
                <w:ilvl w:val="0"/>
                <w:numId w:val="2"/>
              </w:numPr>
            </w:pPr>
            <w:r>
              <w:rPr>
                <w:rStyle w:val="row-content-rich-text"/>
              </w:rPr>
              <w:t xml:space="preserve">There are major methodological differences between cycles of the NSHS affecting comparability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2018 NSHS was managed jointly by the Australian Institute of Health and Welfare (AIHW) and states and territories. Lonergan Research undertook the fieldwork on behalf of the AIHW and states and territories.</w:t>
            </w:r>
          </w:p>
          <w:p>
            <w:pPr>
              <w:spacing w:after="160"/>
            </w:pPr>
            <w:r>
              <w:rPr>
                <w:rStyle w:val="row-content-rich-text"/>
              </w:rPr>
              <w:t xml:space="preserve">The AIHW is an independent corporate Commonwealth entity under the </w:t>
            </w:r>
            <w:hyperlink w:history="true" r:id="R0d25a17e49574eac">
              <w:r>
                <w:rPr>
                  <w:rStyle w:val="Hyperlink"/>
                  <w:i/>
                </w:rPr>
                <w:t xml:space="preserve">Australian Institute of Health and Welfare Act 1987</w:t>
              </w:r>
            </w:hyperlink>
            <w:r>
              <w:rPr>
                <w:rStyle w:val="row-content-rich-text"/>
              </w:rPr>
              <w:t xml:space="preserve"> (AIHW Act), governed by a </w:t>
            </w:r>
            <w:hyperlink w:history="true" r:id="Rb0374019ea134845">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information on a wide range of topics and issues, ranging from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Compliance with confidentiality requirements in the AIHW Act, Privacy Principles in the </w:t>
            </w:r>
            <w:hyperlink w:history="true" r:id="R0beb1c9818a54b15">
              <w:r>
                <w:rPr>
                  <w:rStyle w:val="Hyperlink"/>
                  <w:i/>
                </w:rPr>
                <w:t xml:space="preserve">Privacy Act 1988</w:t>
              </w:r>
            </w:hyperlink>
            <w:r>
              <w:rPr>
                <w:rStyle w:val="row-content-rich-text"/>
              </w:rPr>
              <w:t xml:space="preserve"> (Cth) and its data governance arrangements ensures that the AIHW is well positioned to release information for public benefit while protecting the identity of individuals and organisations. It also ensures that data providers can be confident that the AIHW will adhere to data supply terms and conditions.</w:t>
            </w:r>
          </w:p>
          <w:p>
            <w:pPr/>
            <w:r>
              <w:rPr>
                <w:rStyle w:val="row-content-rich-text"/>
              </w:rPr>
              <w:t xml:space="preserve">For further information see the AIHW website </w:t>
            </w:r>
            <w:hyperlink w:history="true" r:id="R524bc09b281e4ecc">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not collected annually. Surveys for PH and CH were conducted in 2001, 2003, 2005, 2007, 2010, 2012, 2014, 2016 and 2018. Surveys for SOMIH were conducted in 2005, 2007, 2012, 2014, 2016 and 2018. The survey for ICH was conducted for the first time in 2018 (Queensland only).</w:t>
            </w:r>
          </w:p>
          <w:p>
            <w:pPr>
              <w:spacing w:after="160"/>
            </w:pPr>
            <w:r>
              <w:rPr>
                <w:rStyle w:val="row-content-rich-text"/>
              </w:rPr>
              <w:t xml:space="preserve">The 2018 fieldwork for the combined mail-out/online components was conducted from 3 April to 25 June for the Australian Capital Territory and from 3 April to 16 July for all other jurisdictions. Fieldwork for the SOMIH face-to-face component was undertaken in New South Wales from 23 April to 4 June and in Queensland from 30 April to 4 June. For the ICH tenants in Queensland, face-to-face interviews were conducted from 28 May to 16 July.</w:t>
            </w:r>
          </w:p>
          <w:p>
            <w:pPr/>
            <w:r>
              <w:rPr>
                <w:rStyle w:val="row-content-rich-text"/>
              </w:rPr>
              <w:t xml:space="preserve">Data on the characteristics of the household and its members relate to the time of the survey. Data on tenant satisfaction relate to the 12 months up to the time of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results from the 2018 NSHS will be available on the AIHW website (</w:t>
            </w:r>
            <w:hyperlink w:history="true" r:id="Rff18b38876db45b8">
              <w:r>
                <w:rPr>
                  <w:rStyle w:val="Hyperlink"/>
                </w:rPr>
                <w:t xml:space="preserve">Housing assistance</w:t>
              </w:r>
            </w:hyperlink>
            <w:r>
              <w:rPr>
                <w:rStyle w:val="row-content-rich-text"/>
              </w:rPr>
              <w:t xml:space="preserve">), and the Productivity Commission’s annual </w:t>
            </w:r>
            <w:hyperlink w:history="true" r:id="R3c8fc7e5e76a461c">
              <w:r>
                <w:rPr>
                  <w:rStyle w:val="Hyperlink"/>
                  <w:i/>
                </w:rPr>
                <w:t xml:space="preserve">Report on government services</w:t>
              </w:r>
            </w:hyperlink>
            <w:r>
              <w:rPr>
                <w:rStyle w:val="row-content-rich-text"/>
              </w:rPr>
              <w:t xml:space="preserve">. Access to the confidentialised unit record file may be requested through the AIHW Ethics Committee.</w:t>
            </w:r>
          </w:p>
          <w:p>
            <w:pPr>
              <w:spacing w:after="160"/>
            </w:pPr>
            <w:r>
              <w:rPr>
                <w:rStyle w:val="row-content-rich-text"/>
              </w:rPr>
              <w:t xml:space="preserve">Users can request additional disaggregations of data which are not available online or in reports (subject to the AIHW’s confidentiality policy and other conditions) via the AIHW’s online customised data request system at: </w:t>
            </w:r>
            <w:hyperlink w:history="true" r:id="R663f8b10df204507">
              <w:r>
                <w:rPr>
                  <w:rStyle w:val="Hyperlink"/>
                </w:rPr>
                <w:t xml:space="preserve">https://www.aihw.gov.au/our-services/data-on-request</w:t>
              </w:r>
            </w:hyperlink>
            <w:r>
              <w:rPr>
                <w:rStyle w:val="row-content-rich-text"/>
              </w:rPr>
              <w:t xml:space="preserve">. Depending on the nature of the request, requests for access to unpublished data may incur costs. They may also require approval from the AIHW Ethics Committee and/or states and territories.</w:t>
            </w:r>
          </w:p>
          <w:p>
            <w:pPr/>
            <w:r>
              <w:rPr>
                <w:rStyle w:val="row-content-rich-text"/>
              </w:rPr>
              <w:t xml:space="preserve">General enquiries about AIHW publications can be directed to </w:t>
            </w:r>
            <w:hyperlink w:history="true" r:id="R2cec1889190149e7">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 interpretation of 2018 NSHS results will be available on the AIHW website including the 2018 NSHS methodological report, code book and other supporting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2018 NSHS was conducted among tenants from PH (all jurisdictions), CH (all jurisdictions except the Northern Territory), SOMIH (New South Wales, Queensland, South Australia and Tasmania) and ICH (Queensland only). The 2018 NSHS is the first to include ICH tenants from any state or territory.</w:t>
            </w:r>
          </w:p>
          <w:p>
            <w:pPr>
              <w:spacing w:after="160"/>
            </w:pPr>
            <w:r>
              <w:rPr>
                <w:rStyle w:val="row-content-rich-text"/>
              </w:rPr>
              <w:t xml:space="preserve">The data were collected via a combination of mail-out self-completed paper questionnaires, online self-completed questionnaires and face-to-face interviews. PH and CH tenants completed the survey via a combined mail-out/online methodology for all jurisdictions. For SOMIH tenants, surveys were completed via a combined mail-out/online methodology for two jurisdictions (South Australia and Tasmania) and face-to-face interview in the other two jurisdictions (New South Wales and Queensland). Queensland ICH tenants completed the survey via face-to-face interviews.</w:t>
            </w:r>
          </w:p>
          <w:p>
            <w:pPr/>
            <w:r>
              <w:rPr>
                <w:rStyle w:val="row-content-rich-text"/>
              </w:rPr>
              <w:t xml:space="preserve">All remoteness areas were included in the sample. For the postal component of the survey, the speed of delivery to, and returns from, more remote locations may have affected the number of responses received from tenants in these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Response rates</w:t>
            </w:r>
            <w:r>
              <w:br/>
            </w:r>
            <w:r>
              <w:rPr>
                <w:rStyle w:val="row-content-rich-text"/>
              </w:rPr>
              <w:t xml:space="preserve">Response rates are a key factor contributing to the accuracy of estimates produced from the 2018 NSHS. Higher response rates often lead to estimates that are more accurate.</w:t>
            </w:r>
          </w:p>
          <w:p>
            <w:pPr>
              <w:spacing w:after="160"/>
            </w:pPr>
            <w:r>
              <w:rPr>
                <w:rStyle w:val="row-content-rich-text"/>
              </w:rPr>
              <w:t xml:space="preserve">For PH, CH and SOMIH (South Australia and Tasmania only), 26,532 questionnaires were sent to tenants using the combined mail-out/online approach. Of these, 8,825 responses were categorised as being complete and useable (2,798 online responses and 6,027 paper responses). The 2018 response rate for the combined mail-out/online approach was 35.5% (2 percentage points higher than in 2016).</w:t>
            </w:r>
          </w:p>
          <w:p>
            <w:pPr>
              <w:spacing w:after="160"/>
            </w:pPr>
            <w:r>
              <w:rPr>
                <w:rStyle w:val="row-content-rich-text"/>
              </w:rPr>
              <w:t xml:space="preserve">In 2018, 32% of all surveys were completed online—higher than the 2016 online proportion of 20%.</w:t>
            </w:r>
          </w:p>
          <w:p>
            <w:pPr>
              <w:spacing w:after="160"/>
            </w:pPr>
            <w:r>
              <w:rPr>
                <w:rStyle w:val="row-content-rich-text"/>
              </w:rPr>
              <w:t xml:space="preserve">For the two jurisdictions where SOMIH tenants completed the survey face-to-face (New South Wales and Queensland), 2,033 interviews were attempted and 1,065 completed, with an overall response rate of 52.4%.</w:t>
            </w:r>
          </w:p>
          <w:p>
            <w:pPr>
              <w:spacing w:after="160"/>
            </w:pPr>
            <w:r>
              <w:rPr>
                <w:rStyle w:val="row-content-rich-text"/>
              </w:rPr>
              <w:t xml:space="preserve">For Queensland ICH tenants, 744 attempts were made to conduct a face-to-face interview, of which 501 interviews were completed—a response rate of 67.2%.</w:t>
            </w:r>
          </w:p>
          <w:p>
            <w:pPr>
              <w:spacing w:after="160"/>
            </w:pPr>
            <w:r>
              <w:rPr>
                <w:rStyle w:val="row-content-rich-text"/>
              </w:rPr>
              <w:t xml:space="preserve">The 2018 response rates varied across jurisdictions (see table below). A low response rate does not necessarily mean that the results are biased. If the non-respondents are not systematically different in terms of how they would have answered the questions, there is no bias. However, given the relatively low response rates for this survey, it is likely there is some bias in the estimates. No adjustments have been made to mitigate potential non-response bias.</w:t>
            </w:r>
          </w:p>
          <w:p>
            <w:pPr>
              <w:spacing w:after="160"/>
            </w:pPr>
            <w:r>
              <w:rPr>
                <w:rStyle w:val="row-content-rich-text"/>
                <w:b/>
              </w:rPr>
              <w:t xml:space="preserve">Table: Response rate, by program type and jurisdiction, 2018</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2500" w:type="pct"/>
                  <w:vAlign w:val="top"/>
                </w:tcPr>
                <w:p>
                  <w:pPr/>
                  <w:r>
                    <w:rPr>
                      <w:rStyle w:val="row-content-rich-text"/>
                      <w:b/>
                    </w:rPr>
                    <w:t xml:space="preserve">Program/Jurisdiction</w:t>
                  </w:r>
                </w:p>
              </w:tc>
              <w:tc>
                <w:tcPr>
                  <w:tcW w:w="1000" w:type="pct"/>
                  <w:vAlign w:val="top"/>
                </w:tcPr>
                <w:p>
                  <w:r>
                    <w:rPr>
                      <w:b/>
                    </w:rPr>
                    <w:t xml:space="preserve">Total responses</w:t>
                  </w:r>
                </w:p>
              </w:tc>
              <w:tc>
                <w:tcPr>
                  <w:tcW w:w="1450" w:type="pct"/>
                  <w:vAlign w:val="top"/>
                </w:tcPr>
                <w:p>
                  <w:r>
                    <w:rPr>
                      <w:b/>
                    </w:rPr>
                    <w:t xml:space="preserve">Response rate</w:t>
                  </w:r>
                </w:p>
              </w:tc>
            </w:tr>
            <w:tr>
              <w:trPr/>
              <w:tc>
                <w:tcPr>
                  <w:tcW w:w="2500" w:type="pct"/>
                  <w:gridSpan w:val="3"/>
                  <w:vAlign w:val="top"/>
                </w:tcPr>
                <w:p>
                  <w:r>
                    <w:rPr>
                      <w:b/>
                    </w:rPr>
                    <w:t xml:space="preserve">Public housing</w:t>
                  </w:r>
                </w:p>
              </w:tc>
            </w:tr>
            <w:tr>
              <w:trPr/>
              <w:tc>
                <w:tcPr>
                  <w:tcW w:w="2500" w:type="pct"/>
                  <w:vAlign w:val="top"/>
                </w:tcPr>
                <w:p>
                  <w:r>
                    <w:t xml:space="preserve">NSW</w:t>
                  </w:r>
                </w:p>
              </w:tc>
              <w:tc>
                <w:tcPr>
                  <w:tcW w:w="1000" w:type="pct"/>
                  <w:vAlign w:val="top"/>
                </w:tcPr>
                <w:p>
                  <w:r>
                    <w:t xml:space="preserve">571</w:t>
                  </w:r>
                </w:p>
              </w:tc>
              <w:tc>
                <w:tcPr>
                  <w:tcW w:w="1450" w:type="pct"/>
                  <w:vAlign w:val="top"/>
                </w:tcPr>
                <w:p>
                  <w:r>
                    <w:t xml:space="preserve">37.5%</w:t>
                  </w:r>
                </w:p>
              </w:tc>
            </w:tr>
            <w:tr>
              <w:trPr/>
              <w:tc>
                <w:tcPr>
                  <w:tcW w:w="2500" w:type="pct"/>
                  <w:vAlign w:val="top"/>
                </w:tcPr>
                <w:p>
                  <w:r>
                    <w:t xml:space="preserve">Vic</w:t>
                  </w:r>
                </w:p>
              </w:tc>
              <w:tc>
                <w:tcPr>
                  <w:tcW w:w="1000" w:type="pct"/>
                  <w:vAlign w:val="top"/>
                </w:tcPr>
                <w:p>
                  <w:r>
                    <w:t xml:space="preserve">672</w:t>
                  </w:r>
                </w:p>
              </w:tc>
              <w:tc>
                <w:tcPr>
                  <w:tcW w:w="1450" w:type="pct"/>
                  <w:vAlign w:val="top"/>
                </w:tcPr>
                <w:p>
                  <w:r>
                    <w:t xml:space="preserve">41.2%</w:t>
                  </w:r>
                </w:p>
              </w:tc>
            </w:tr>
            <w:tr>
              <w:trPr/>
              <w:tc>
                <w:tcPr>
                  <w:tcW w:w="2500" w:type="pct"/>
                  <w:vAlign w:val="top"/>
                </w:tcPr>
                <w:p>
                  <w:r>
                    <w:t xml:space="preserve">Qld</w:t>
                  </w:r>
                </w:p>
              </w:tc>
              <w:tc>
                <w:tcPr>
                  <w:tcW w:w="1000" w:type="pct"/>
                  <w:vAlign w:val="top"/>
                </w:tcPr>
                <w:p>
                  <w:r>
                    <w:t xml:space="preserve">1,094</w:t>
                  </w:r>
                </w:p>
              </w:tc>
              <w:tc>
                <w:tcPr>
                  <w:tcW w:w="1450" w:type="pct"/>
                  <w:vAlign w:val="top"/>
                </w:tcPr>
                <w:p>
                  <w:r>
                    <w:t xml:space="preserve">35.7%</w:t>
                  </w:r>
                </w:p>
              </w:tc>
            </w:tr>
            <w:tr>
              <w:trPr/>
              <w:tc>
                <w:tcPr>
                  <w:tcW w:w="2500" w:type="pct"/>
                  <w:vAlign w:val="top"/>
                </w:tcPr>
                <w:p>
                  <w:r>
                    <w:t xml:space="preserve">WA</w:t>
                  </w:r>
                </w:p>
              </w:tc>
              <w:tc>
                <w:tcPr>
                  <w:tcW w:w="1000" w:type="pct"/>
                  <w:vAlign w:val="top"/>
                </w:tcPr>
                <w:p>
                  <w:r>
                    <w:t xml:space="preserve">633</w:t>
                  </w:r>
                </w:p>
              </w:tc>
              <w:tc>
                <w:tcPr>
                  <w:tcW w:w="1450" w:type="pct"/>
                  <w:vAlign w:val="top"/>
                </w:tcPr>
                <w:p>
                  <w:r>
                    <w:t xml:space="preserve">39.8%</w:t>
                  </w:r>
                </w:p>
              </w:tc>
            </w:tr>
            <w:tr>
              <w:trPr/>
              <w:tc>
                <w:tcPr>
                  <w:tcW w:w="2500" w:type="pct"/>
                  <w:vAlign w:val="top"/>
                </w:tcPr>
                <w:p>
                  <w:r>
                    <w:t xml:space="preserve">SA</w:t>
                  </w:r>
                </w:p>
              </w:tc>
              <w:tc>
                <w:tcPr>
                  <w:tcW w:w="1000" w:type="pct"/>
                  <w:vAlign w:val="top"/>
                </w:tcPr>
                <w:p>
                  <w:r>
                    <w:t xml:space="preserve">580</w:t>
                  </w:r>
                </w:p>
              </w:tc>
              <w:tc>
                <w:tcPr>
                  <w:tcW w:w="1450" w:type="pct"/>
                  <w:vAlign w:val="top"/>
                </w:tcPr>
                <w:p>
                  <w:r>
                    <w:t xml:space="preserve">44.9%</w:t>
                  </w:r>
                </w:p>
              </w:tc>
            </w:tr>
            <w:tr>
              <w:trPr/>
              <w:tc>
                <w:tcPr>
                  <w:tcW w:w="2500" w:type="pct"/>
                  <w:vAlign w:val="top"/>
                </w:tcPr>
                <w:p>
                  <w:r>
                    <w:t xml:space="preserve">Tas</w:t>
                  </w:r>
                </w:p>
              </w:tc>
              <w:tc>
                <w:tcPr>
                  <w:tcW w:w="1000" w:type="pct"/>
                  <w:vAlign w:val="top"/>
                </w:tcPr>
                <w:p>
                  <w:r>
                    <w:t xml:space="preserve">522</w:t>
                  </w:r>
                </w:p>
              </w:tc>
              <w:tc>
                <w:tcPr>
                  <w:tcW w:w="1450" w:type="pct"/>
                  <w:vAlign w:val="top"/>
                </w:tcPr>
                <w:p>
                  <w:r>
                    <w:t xml:space="preserve">38.7%</w:t>
                  </w:r>
                </w:p>
              </w:tc>
            </w:tr>
            <w:tr>
              <w:trPr/>
              <w:tc>
                <w:tcPr>
                  <w:tcW w:w="2500" w:type="pct"/>
                  <w:vAlign w:val="top"/>
                </w:tcPr>
                <w:p>
                  <w:r>
                    <w:t xml:space="preserve">ACT</w:t>
                  </w:r>
                </w:p>
              </w:tc>
              <w:tc>
                <w:tcPr>
                  <w:tcW w:w="1000" w:type="pct"/>
                  <w:vAlign w:val="top"/>
                </w:tcPr>
                <w:p>
                  <w:r>
                    <w:t xml:space="preserve">524</w:t>
                  </w:r>
                </w:p>
              </w:tc>
              <w:tc>
                <w:tcPr>
                  <w:tcW w:w="1450" w:type="pct"/>
                  <w:vAlign w:val="top"/>
                </w:tcPr>
                <w:p>
                  <w:r>
                    <w:t xml:space="preserve">33.8%</w:t>
                  </w:r>
                </w:p>
              </w:tc>
            </w:tr>
            <w:tr>
              <w:trPr/>
              <w:tc>
                <w:tcPr>
                  <w:tcW w:w="2500" w:type="pct"/>
                  <w:vAlign w:val="top"/>
                </w:tcPr>
                <w:p>
                  <w:r>
                    <w:t xml:space="preserve">NT</w:t>
                  </w:r>
                </w:p>
              </w:tc>
              <w:tc>
                <w:tcPr>
                  <w:tcW w:w="1000" w:type="pct"/>
                  <w:vAlign w:val="top"/>
                </w:tcPr>
                <w:p>
                  <w:r>
                    <w:t xml:space="preserve">545</w:t>
                  </w:r>
                </w:p>
              </w:tc>
              <w:tc>
                <w:tcPr>
                  <w:tcW w:w="1450" w:type="pct"/>
                  <w:vAlign w:val="top"/>
                </w:tcPr>
                <w:p>
                  <w:r>
                    <w:t xml:space="preserve">33.7%</w:t>
                  </w:r>
                </w:p>
              </w:tc>
            </w:tr>
            <w:tr>
              <w:trPr/>
              <w:tc>
                <w:tcPr>
                  <w:tcW w:w="2500" w:type="pct"/>
                  <w:gridSpan w:val="3"/>
                  <w:vAlign w:val="top"/>
                </w:tcPr>
                <w:p>
                  <w:r>
                    <w:rPr>
                      <w:b/>
                    </w:rPr>
                    <w:t xml:space="preserve">Community housing</w:t>
                  </w:r>
                </w:p>
              </w:tc>
            </w:tr>
            <w:tr>
              <w:trPr/>
              <w:tc>
                <w:tcPr>
                  <w:tcW w:w="2500" w:type="pct"/>
                  <w:vAlign w:val="top"/>
                </w:tcPr>
                <w:p>
                  <w:r>
                    <w:t xml:space="preserve">NSW</w:t>
                  </w:r>
                </w:p>
              </w:tc>
              <w:tc>
                <w:tcPr>
                  <w:tcW w:w="1000" w:type="pct"/>
                  <w:vAlign w:val="top"/>
                </w:tcPr>
                <w:p>
                  <w:r>
                    <w:t xml:space="preserve">381</w:t>
                  </w:r>
                </w:p>
              </w:tc>
              <w:tc>
                <w:tcPr>
                  <w:tcW w:w="1450" w:type="pct"/>
                  <w:vAlign w:val="top"/>
                </w:tcPr>
                <w:p>
                  <w:r>
                    <w:t xml:space="preserve">30.0%</w:t>
                  </w:r>
                </w:p>
              </w:tc>
            </w:tr>
            <w:tr>
              <w:trPr/>
              <w:tc>
                <w:tcPr>
                  <w:tcW w:w="2500" w:type="pct"/>
                  <w:vAlign w:val="top"/>
                </w:tcPr>
                <w:p>
                  <w:r>
                    <w:t xml:space="preserve">Vic</w:t>
                  </w:r>
                </w:p>
              </w:tc>
              <w:tc>
                <w:tcPr>
                  <w:tcW w:w="1000" w:type="pct"/>
                  <w:vAlign w:val="top"/>
                </w:tcPr>
                <w:p>
                  <w:r>
                    <w:t xml:space="preserve">448</w:t>
                  </w:r>
                </w:p>
              </w:tc>
              <w:tc>
                <w:tcPr>
                  <w:tcW w:w="1450" w:type="pct"/>
                  <w:vAlign w:val="top"/>
                </w:tcPr>
                <w:p>
                  <w:r>
                    <w:t xml:space="preserve">34.9%</w:t>
                  </w:r>
                </w:p>
              </w:tc>
            </w:tr>
            <w:tr>
              <w:trPr/>
              <w:tc>
                <w:tcPr>
                  <w:tcW w:w="2500" w:type="pct"/>
                  <w:vAlign w:val="top"/>
                </w:tcPr>
                <w:p>
                  <w:r>
                    <w:t xml:space="preserve">Qld</w:t>
                  </w:r>
                </w:p>
              </w:tc>
              <w:tc>
                <w:tcPr>
                  <w:tcW w:w="1000" w:type="pct"/>
                  <w:vAlign w:val="top"/>
                </w:tcPr>
                <w:p>
                  <w:r>
                    <w:t xml:space="preserve">573</w:t>
                  </w:r>
                </w:p>
              </w:tc>
              <w:tc>
                <w:tcPr>
                  <w:tcW w:w="1450" w:type="pct"/>
                  <w:vAlign w:val="top"/>
                </w:tcPr>
                <w:p>
                  <w:r>
                    <w:t xml:space="preserve">33.0%</w:t>
                  </w:r>
                </w:p>
              </w:tc>
            </w:tr>
            <w:tr>
              <w:trPr/>
              <w:tc>
                <w:tcPr>
                  <w:tcW w:w="2500" w:type="pct"/>
                  <w:vAlign w:val="top"/>
                </w:tcPr>
                <w:p>
                  <w:r>
                    <w:t xml:space="preserve">WA</w:t>
                  </w:r>
                </w:p>
              </w:tc>
              <w:tc>
                <w:tcPr>
                  <w:tcW w:w="1000" w:type="pct"/>
                  <w:vAlign w:val="top"/>
                </w:tcPr>
                <w:p>
                  <w:r>
                    <w:t xml:space="preserve">488</w:t>
                  </w:r>
                </w:p>
              </w:tc>
              <w:tc>
                <w:tcPr>
                  <w:tcW w:w="1450" w:type="pct"/>
                  <w:vAlign w:val="top"/>
                </w:tcPr>
                <w:p>
                  <w:r>
                    <w:t xml:space="preserve">33.4%</w:t>
                  </w:r>
                </w:p>
              </w:tc>
            </w:tr>
            <w:tr>
              <w:trPr/>
              <w:tc>
                <w:tcPr>
                  <w:tcW w:w="2500" w:type="pct"/>
                  <w:vAlign w:val="top"/>
                </w:tcPr>
                <w:p>
                  <w:r>
                    <w:t xml:space="preserve">SA</w:t>
                  </w:r>
                </w:p>
              </w:tc>
              <w:tc>
                <w:tcPr>
                  <w:tcW w:w="1000" w:type="pct"/>
                  <w:vAlign w:val="top"/>
                </w:tcPr>
                <w:p>
                  <w:r>
                    <w:t xml:space="preserve">820</w:t>
                  </w:r>
                </w:p>
              </w:tc>
              <w:tc>
                <w:tcPr>
                  <w:tcW w:w="1450" w:type="pct"/>
                  <w:vAlign w:val="top"/>
                </w:tcPr>
                <w:p>
                  <w:r>
                    <w:t xml:space="preserve">38.4%</w:t>
                  </w:r>
                </w:p>
              </w:tc>
            </w:tr>
            <w:tr>
              <w:trPr/>
              <w:tc>
                <w:tcPr>
                  <w:tcW w:w="2500" w:type="pct"/>
                  <w:vAlign w:val="top"/>
                </w:tcPr>
                <w:p>
                  <w:r>
                    <w:t xml:space="preserve">Tas</w:t>
                  </w:r>
                </w:p>
              </w:tc>
              <w:tc>
                <w:tcPr>
                  <w:tcW w:w="1000" w:type="pct"/>
                  <w:vAlign w:val="top"/>
                </w:tcPr>
                <w:p>
                  <w:r>
                    <w:t xml:space="preserve">439</w:t>
                  </w:r>
                </w:p>
              </w:tc>
              <w:tc>
                <w:tcPr>
                  <w:tcW w:w="1450" w:type="pct"/>
                  <w:vAlign w:val="top"/>
                </w:tcPr>
                <w:p>
                  <w:r>
                    <w:t xml:space="preserve">36.8%</w:t>
                  </w:r>
                </w:p>
              </w:tc>
            </w:tr>
            <w:tr>
              <w:trPr/>
              <w:tc>
                <w:tcPr>
                  <w:tcW w:w="2500" w:type="pct"/>
                  <w:vAlign w:val="top"/>
                </w:tcPr>
                <w:p>
                  <w:r>
                    <w:t xml:space="preserve">ACT</w:t>
                  </w:r>
                </w:p>
              </w:tc>
              <w:tc>
                <w:tcPr>
                  <w:tcW w:w="1000" w:type="pct"/>
                  <w:vAlign w:val="top"/>
                </w:tcPr>
                <w:p>
                  <w:r>
                    <w:t xml:space="preserve">177</w:t>
                  </w:r>
                </w:p>
              </w:tc>
              <w:tc>
                <w:tcPr>
                  <w:tcW w:w="1450" w:type="pct"/>
                  <w:vAlign w:val="top"/>
                </w:tcPr>
                <w:p>
                  <w:r>
                    <w:t xml:space="preserve">26.9%</w:t>
                  </w:r>
                </w:p>
              </w:tc>
            </w:tr>
            <w:tr>
              <w:trPr/>
              <w:tc>
                <w:tcPr>
                  <w:tcW w:w="2500" w:type="pct"/>
                  <w:gridSpan w:val="3"/>
                  <w:vAlign w:val="top"/>
                </w:tcPr>
                <w:p>
                  <w:r>
                    <w:rPr>
                      <w:b/>
                    </w:rPr>
                    <w:t xml:space="preserve">State owned and managed Indigenous housing</w:t>
                  </w:r>
                </w:p>
              </w:tc>
            </w:tr>
            <w:tr>
              <w:trPr/>
              <w:tc>
                <w:tcPr>
                  <w:tcW w:w="2500" w:type="pct"/>
                  <w:vAlign w:val="top"/>
                </w:tcPr>
                <w:p>
                  <w:r>
                    <w:t xml:space="preserve">NSW (face-to-face)</w:t>
                  </w:r>
                </w:p>
              </w:tc>
              <w:tc>
                <w:tcPr>
                  <w:tcW w:w="1000" w:type="pct"/>
                  <w:vAlign w:val="top"/>
                </w:tcPr>
                <w:p>
                  <w:r>
                    <w:t xml:space="preserve">537</w:t>
                  </w:r>
                </w:p>
              </w:tc>
              <w:tc>
                <w:tcPr>
                  <w:tcW w:w="1450" w:type="pct"/>
                  <w:vAlign w:val="top"/>
                </w:tcPr>
                <w:p>
                  <w:r>
                    <w:t xml:space="preserve">50.6%</w:t>
                  </w:r>
                </w:p>
              </w:tc>
            </w:tr>
            <w:tr>
              <w:trPr/>
              <w:tc>
                <w:tcPr>
                  <w:tcW w:w="2500" w:type="pct"/>
                  <w:vAlign w:val="top"/>
                </w:tcPr>
                <w:p>
                  <w:r>
                    <w:t xml:space="preserve">Qld (face-to-face)</w:t>
                  </w:r>
                </w:p>
              </w:tc>
              <w:tc>
                <w:tcPr>
                  <w:tcW w:w="1000" w:type="pct"/>
                  <w:vAlign w:val="top"/>
                </w:tcPr>
                <w:p>
                  <w:r>
                    <w:t xml:space="preserve">528</w:t>
                  </w:r>
                </w:p>
              </w:tc>
              <w:tc>
                <w:tcPr>
                  <w:tcW w:w="1450" w:type="pct"/>
                  <w:vAlign w:val="top"/>
                </w:tcPr>
                <w:p>
                  <w:r>
                    <w:t xml:space="preserve">54.4%</w:t>
                  </w:r>
                </w:p>
              </w:tc>
            </w:tr>
            <w:tr>
              <w:trPr/>
              <w:tc>
                <w:tcPr>
                  <w:tcW w:w="2500" w:type="pct"/>
                  <w:vAlign w:val="top"/>
                </w:tcPr>
                <w:p>
                  <w:r>
                    <w:t xml:space="preserve">SA</w:t>
                  </w:r>
                </w:p>
              </w:tc>
              <w:tc>
                <w:tcPr>
                  <w:tcW w:w="1000" w:type="pct"/>
                  <w:vAlign w:val="top"/>
                </w:tcPr>
                <w:p>
                  <w:r>
                    <w:t xml:space="preserve">292</w:t>
                  </w:r>
                </w:p>
              </w:tc>
              <w:tc>
                <w:tcPr>
                  <w:tcW w:w="1450" w:type="pct"/>
                  <w:vAlign w:val="top"/>
                </w:tcPr>
                <w:p>
                  <w:r>
                    <w:t xml:space="preserve">22.3%</w:t>
                  </w:r>
                </w:p>
              </w:tc>
            </w:tr>
            <w:tr>
              <w:trPr/>
              <w:tc>
                <w:tcPr>
                  <w:tcW w:w="2500" w:type="pct"/>
                  <w:vAlign w:val="top"/>
                </w:tcPr>
                <w:p>
                  <w:r>
                    <w:t xml:space="preserve">Tas</w:t>
                  </w:r>
                </w:p>
              </w:tc>
              <w:tc>
                <w:tcPr>
                  <w:tcW w:w="1000" w:type="pct"/>
                  <w:vAlign w:val="top"/>
                </w:tcPr>
                <w:p>
                  <w:r>
                    <w:t xml:space="preserve">66</w:t>
                  </w:r>
                </w:p>
              </w:tc>
              <w:tc>
                <w:tcPr>
                  <w:tcW w:w="1450" w:type="pct"/>
                  <w:vAlign w:val="top"/>
                </w:tcPr>
                <w:p>
                  <w:r>
                    <w:t xml:space="preserve">31.1%</w:t>
                  </w:r>
                </w:p>
              </w:tc>
            </w:tr>
            <w:tr>
              <w:trPr/>
              <w:tc>
                <w:tcPr>
                  <w:tcW w:w="2500" w:type="pct"/>
                  <w:gridSpan w:val="3"/>
                  <w:vAlign w:val="top"/>
                </w:tcPr>
                <w:p>
                  <w:r>
                    <w:rPr>
                      <w:b/>
                    </w:rPr>
                    <w:t xml:space="preserve">Indigenous community housing</w:t>
                  </w:r>
                </w:p>
              </w:tc>
            </w:tr>
            <w:tr>
              <w:trPr/>
              <w:tc>
                <w:tcPr>
                  <w:tcW w:w="2500" w:type="pct"/>
                  <w:vAlign w:val="top"/>
                </w:tcPr>
                <w:p>
                  <w:r>
                    <w:t xml:space="preserve">Qld (face-to-face)</w:t>
                  </w:r>
                </w:p>
              </w:tc>
              <w:tc>
                <w:tcPr>
                  <w:tcW w:w="1000" w:type="pct"/>
                  <w:vAlign w:val="top"/>
                </w:tcPr>
                <w:p>
                  <w:r>
                    <w:t xml:space="preserve">501</w:t>
                  </w:r>
                </w:p>
              </w:tc>
              <w:tc>
                <w:tcPr>
                  <w:tcW w:w="1450" w:type="pct"/>
                  <w:vAlign w:val="top"/>
                </w:tcPr>
                <w:p>
                  <w:r>
                    <w:t xml:space="preserve">67.2%</w:t>
                  </w:r>
                </w:p>
              </w:tc>
            </w:tr>
          </w:tbl>
          <w:p>
            <w:r>
              <w:t xml:space="preserve"> </w:t>
            </w:r>
          </w:p>
          <w:p>
            <w:r>
              <w:rPr>
                <w:b/>
              </w:rPr>
              <w:t xml:space="preserve">Scope and coverage</w:t>
            </w:r>
          </w:p>
          <w:p>
            <w:r>
              <w:t xml:space="preserve">The 2018 NSHS was designed to meet minimum reliability objectives for key variables for each participating jurisdiction/housing program.</w:t>
            </w:r>
          </w:p>
          <w:p>
            <w:r>
              <w:rPr>
                <w:b/>
              </w:rPr>
              <w:t xml:space="preserve">Sample design</w:t>
            </w:r>
            <w:r>
              <w:br/>
            </w:r>
            <w:r>
              <w:t xml:space="preserve">Stratified sampling was undertaken to reduce sampling error and maximise the chance that jurisdiction/program sample targets were met.</w:t>
            </w:r>
          </w:p>
          <w:p>
            <w:r>
              <w:t xml:space="preserve">In 2018, minimum sample quotas were employed for remoteness-based strata for the first time. This will improve the reliability of estimates for some of the jurisdiction/program/remoteness-based populations that have smaller populations.</w:t>
            </w:r>
          </w:p>
          <w:p>
            <w:r>
              <w:t xml:space="preserve">Quotas were set for each jurisdiction/housing strata. In PH they were 500 for each jurisdiction, except Queensland, where it was 1,000. For CH they were 350 for each jurisdiction, except South Australia (700) and Queensland (500). In SOMIH: 500 for New South Wales, Queensland and South Australia; and 200 for Tasmania. ICH in Queensland was also 500.</w:t>
            </w:r>
          </w:p>
          <w:p>
            <w:r>
              <w:t xml:space="preserve">After the initial mail-out, a booster sample of 873 overall was lodged, comprising New South Wales PH (40), Queensland PH (200), the Australian Capital Territory PH (100), Western Australia PH (88), Queensland CH (82) and Western Australia CH (238).</w:t>
            </w:r>
          </w:p>
          <w:p>
            <w:r>
              <w:rPr>
                <w:b/>
              </w:rPr>
              <w:t xml:space="preserve">Weighting</w:t>
            </w:r>
          </w:p>
          <w:p>
            <w:r>
              <w:t xml:space="preserve">Consistent with the 2016 NSHS, a grouped weighting methodology was employed. Population groups were created across three variables: housing type, jurisdiction and remoteness. The weighting was calculated as: the number of households in each population group divided by the number of usable survey responses. All population counts were confirmed by the jurisdictions.</w:t>
            </w:r>
          </w:p>
          <w:p>
            <w:r>
              <w:rPr>
                <w:b/>
              </w:rPr>
              <w:t xml:space="preserve">Sampling error</w:t>
            </w:r>
            <w:r>
              <w:br/>
            </w:r>
            <w:r>
              <w:t xml:space="preserve">The estimates are subject to sampling error. Relative standard errors (RSEs) are provided with estimates from the 2018 NSHS to assist the reader assess the reliability of the estimates. Only estimates with RSEs of less than 25% are considered sufficiently reliable for most purposes. Results subject to RSEs of between 25% and 50% should be considered with caution and those with relative standard errors greater than 50% should be considered as unreliable for most purposes.</w:t>
            </w:r>
          </w:p>
          <w:p>
            <w:r>
              <w:rPr>
                <w:b/>
              </w:rPr>
              <w:t xml:space="preserve">Non-sampling error</w:t>
            </w:r>
            <w:r>
              <w:br/>
            </w:r>
            <w:r>
              <w:t xml:space="preserve">In addition to sampling errors, the estimates are subject to non-sampling errors. These can arise from errors in reporting of responses (for example, failure of respondents’ memories or incorrect completion of the survey form), or the unwillingness of respondents to reveal their true responses. The survey findings are based on self-reported data. They can also arise from coverage, interviewer or processing errors. It is also expected there is some level of non-response error, where there are higher levels of non-response from certain subpopulations.</w:t>
            </w:r>
          </w:p>
          <w:p>
            <w:r>
              <w:rPr>
                <w:b/>
              </w:rPr>
              <w:t xml:space="preserve">Missing data</w:t>
            </w:r>
            <w:r>
              <w:br/>
            </w:r>
            <w:r>
              <w:t xml:space="preserve">Some survey respondents did not answer all questions, either because they were unable or unwilling to provide a response. The survey responses for these people were retained in the sample, and the corresponding values were set to missing. Cleaning rules resulted in the imputation of responses for some missing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2018 NSHS, caution should be used when comparing trend data or data between jurisdictions due to differences in response rates and non-sampling error.</w:t>
            </w:r>
          </w:p>
          <w:p>
            <w:pPr>
              <w:spacing w:after="160"/>
            </w:pPr>
            <w:r>
              <w:rPr>
                <w:rStyle w:val="row-content-rich-text"/>
              </w:rPr>
              <w:t xml:space="preserve">The 2018 NSHS sampling and stratification methods were similar to the 2016 survey: a sample was randomly selected from each strata.</w:t>
            </w:r>
          </w:p>
          <w:p>
            <w:pPr>
              <w:spacing w:after="160"/>
            </w:pPr>
            <w:r>
              <w:rPr>
                <w:rStyle w:val="row-content-rich-text"/>
              </w:rPr>
              <w:t xml:space="preserve">As in 2016, the data collected for SOMIH was sourced using two methodologies (via mail-out in two jurisdictions and via face-to-face interview in two jurisdictions). Trend data from before 2016 and comparisons between jurisdictions should therefore be interpreted with caution.</w:t>
            </w:r>
          </w:p>
          <w:p>
            <w:pPr>
              <w:spacing w:after="160"/>
            </w:pPr>
            <w:r>
              <w:rPr>
                <w:rStyle w:val="row-content-rich-text"/>
              </w:rPr>
              <w:t xml:space="preserve">Surveys in this series commenced in 2001. Over time, modifications have been made to the survey’s methodology and questionnaire design. As noted above, the sample design and the questionnaire of the 2018 survey differ in a number of important respects from previous versions of the survey.</w:t>
            </w:r>
          </w:p>
          <w:p>
            <w:pPr/>
            <w:r>
              <w:rPr>
                <w:rStyle w:val="row-content-rich-text"/>
              </w:rPr>
              <w:t xml:space="preserve">Refer to data quality statements and technical reports for the relevant historical surveys before comparing data across surveys.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71cc4ce38c4733">
              <w:r>
                <w:rPr>
                  <w:rStyle w:val="Hyperlink"/>
                </w:rPr>
                <w:t xml:space="preserve">National Social Housing Survey, 2016; Quality Statement</w:t>
              </w:r>
            </w:hyperlink>
          </w:p>
          <w:p>
            <w:pPr>
              <w:spacing w:before="0" w:after="0"/>
            </w:pPr>
            <w:r>
              <w:rPr>
                <w:rStyle w:val="row-content"/>
                <w:color w:val="244061"/>
              </w:rPr>
              <w:t xml:space="preserve">       </w:t>
            </w:r>
            <w:hyperlink w:history="true" r:id="R317ad9897afa4c51">
              <w:r>
                <w:rPr>
                  <w:rStyle w:val="Hyperlink"/>
                  <w:color w:val="244061"/>
                </w:rPr>
                <w:t xml:space="preserve">AIHW Data Quality Statements</w:t>
              </w:r>
            </w:hyperlink>
            <w:r>
              <w:rPr>
                <w:rStyle w:val="row-content"/>
                <w:color w:val="244061"/>
              </w:rPr>
              <w:t xml:space="preserve">, Superseded 21/01/2019</w:t>
            </w:r>
          </w:p>
          <w:p>
            <w:r>
              <w:br/>
            </w:r>
            <w:r>
              <w:rPr>
                <w:rStyle w:val="row-content"/>
              </w:rPr>
              <w:t xml:space="preserve">Has been superseded by </w:t>
            </w:r>
            <w:hyperlink w:history="true" r:id="Rbc1bed1993af4f09">
              <w:r>
                <w:rPr>
                  <w:rStyle w:val="Hyperlink"/>
                </w:rPr>
                <w:t xml:space="preserve">National Social Housing Survey, 2021; Quality Statement</w:t>
              </w:r>
            </w:hyperlink>
          </w:p>
          <w:p>
            <w:pPr>
              <w:spacing w:before="0" w:after="0"/>
            </w:pPr>
            <w:r>
              <w:rPr>
                <w:rStyle w:val="row-content"/>
                <w:color w:val="244061"/>
              </w:rPr>
              <w:t xml:space="preserve">       </w:t>
            </w:r>
            <w:hyperlink w:history="true" r:id="R91619e5897e441f5">
              <w:r>
                <w:rPr>
                  <w:rStyle w:val="Hyperlink"/>
                  <w:color w:val="244061"/>
                </w:rPr>
                <w:t xml:space="preserve">AIHW Data Quality Statements</w:t>
              </w:r>
            </w:hyperlink>
            <w:r>
              <w:rPr>
                <w:rStyle w:val="row-content"/>
                <w:color w:val="244061"/>
              </w:rPr>
              <w:t xml:space="preserve">, Superseded 13/12/2023</w:t>
            </w:r>
          </w:p>
          <w:p>
            <w:r>
              <w:br/>
            </w:r>
          </w:p>
        </w:tc>
      </w:tr>
    </w:tbl>
    <w:p>
      <w:r>
        <w:br/>
      </w:r>
    </w:p>
    <w:sectPr>
      <w:footerReference xmlns:r="http://schemas.openxmlformats.org/officeDocument/2006/relationships" w:type="default" r:id="R19806e3ec1c144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705807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33a56c3c5a43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806e3ec1c144f9" /><Relationship Type="http://schemas.openxmlformats.org/officeDocument/2006/relationships/header" Target="/word/header1.xml" Id="R055759b43d0f4673" /><Relationship Type="http://schemas.openxmlformats.org/officeDocument/2006/relationships/settings" Target="/word/settings.xml" Id="Rc44d570ecd5b4ec0" /><Relationship Type="http://schemas.openxmlformats.org/officeDocument/2006/relationships/styles" Target="/word/styles.xml" Id="R6102d25b2ed64d83" /><Relationship Type="http://schemas.openxmlformats.org/officeDocument/2006/relationships/hyperlink" Target="https://meteor.aihw.gov.au/RegistrationAuthority/5" TargetMode="External" Id="R7cbc3569f960474f" /><Relationship Type="http://schemas.openxmlformats.org/officeDocument/2006/relationships/numbering" Target="/word/numbering.xml" Id="Rc85c125696444aca" /><Relationship Type="http://schemas.openxmlformats.org/officeDocument/2006/relationships/hyperlink" Target="http://www.comlaw.gov.au/Series/C2004A03450" TargetMode="External" Id="R0d25a17e49574eac" /><Relationship Type="http://schemas.openxmlformats.org/officeDocument/2006/relationships/hyperlink" Target="http://www.aihw.gov.au/aihw-board/" TargetMode="External" Id="Rb0374019ea134845" /><Relationship Type="http://schemas.openxmlformats.org/officeDocument/2006/relationships/hyperlink" Target="https://www.legislation.gov.au/Series/C2004A03712" TargetMode="External" Id="R0beb1c9818a54b15" /><Relationship Type="http://schemas.openxmlformats.org/officeDocument/2006/relationships/hyperlink" Target="http://www.aihw.gov.au" TargetMode="External" Id="R524bc09b281e4ecc" /><Relationship Type="http://schemas.openxmlformats.org/officeDocument/2006/relationships/hyperlink" Target="https://www.aihw.gov.au/reports-data/health-welfare-services/housing-assistance/overview" TargetMode="External" Id="Rff18b38876db45b8" /><Relationship Type="http://schemas.openxmlformats.org/officeDocument/2006/relationships/hyperlink" Target="http://www.pc.gov.au/research/ongoing/report-on-government-services" TargetMode="External" Id="R3c8fc7e5e76a461c" /><Relationship Type="http://schemas.openxmlformats.org/officeDocument/2006/relationships/hyperlink" Target="https://www.aihw.gov.au/our-services/data-on-request" TargetMode="External" Id="R663f8b10df204507" /><Relationship Type="http://schemas.openxmlformats.org/officeDocument/2006/relationships/hyperlink" Target="mailto:info@aihw.gov.au" TargetMode="External" Id="R2cec1889190149e7" /><Relationship Type="http://schemas.openxmlformats.org/officeDocument/2006/relationships/hyperlink" Target="https://meteor.aihw.gov.au/content/661245" TargetMode="External" Id="R9c71cc4ce38c4733" /><Relationship Type="http://schemas.openxmlformats.org/officeDocument/2006/relationships/hyperlink" Target="https://meteor.aihw.gov.au/RegistrationAuthority/5" TargetMode="External" Id="R317ad9897afa4c51" /><Relationship Type="http://schemas.openxmlformats.org/officeDocument/2006/relationships/hyperlink" Target="https://meteor.aihw.gov.au/content/748649" TargetMode="External" Id="Rbc1bed1993af4f09" /><Relationship Type="http://schemas.openxmlformats.org/officeDocument/2006/relationships/hyperlink" Target="https://meteor.aihw.gov.au/RegistrationAuthority/5" TargetMode="External" Id="R91619e5897e441f5" /></Relationships>
</file>

<file path=word/_rels/header1.xml.rels>&#65279;<?xml version="1.0" encoding="utf-8"?><Relationships xmlns="http://schemas.openxmlformats.org/package/2006/relationships"><Relationship Type="http://schemas.openxmlformats.org/officeDocument/2006/relationships/image" Target="/media/image.png" Id="R0233a56c3c5a435e" /></Relationships>
</file>