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b0f3931c234a7e" /></Relationships>
</file>

<file path=word/document.xml><?xml version="1.0" encoding="utf-8"?>
<w:document xmlns:r="http://schemas.openxmlformats.org/officeDocument/2006/relationships" xmlns:w="http://schemas.openxmlformats.org/wordprocessingml/2006/main">
  <w:body>
    <w:p>
      <w:pPr>
        <w:pStyle w:val="Title"/>
      </w:pPr>
      <w:r>
        <w:t>Patient—sedation received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Patient—sedation received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Sedation received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f82f9d86ed4367">
              <w:r>
                <w:rPr>
                  <w:rStyle w:val="Hyperlink"/>
                  <w:color w:val="244061"/>
                </w:rPr>
                <w:t xml:space="preserve">Health</w:t>
              </w:r>
            </w:hyperlink>
            <w:r>
              <w:rPr>
                <w:rStyle w:val="row-content"/>
                <w:color w:val="244061"/>
              </w:rPr>
              <w:t xml:space="preserve">, Standard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received sedation from a qualified health professional,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6e9098d79ca46f7">
              <w:r>
                <w:rPr>
                  <w:rStyle w:val="Hyperlink"/>
                </w:rPr>
                <w:t xml:space="preserve">Patient—sedation received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95b5752299c44be">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To be recorded when a patient has received sedation.</w:t>
            </w:r>
          </w:p>
          <w:p>
            <w:pPr>
              <w:spacing w:after="160"/>
            </w:pPr>
            <w:r>
              <w:rPr>
                <w:rStyle w:val="row-content-rich-text"/>
              </w:rPr>
              <w:t xml:space="preserve">CODE 2   No</w:t>
            </w:r>
          </w:p>
          <w:p>
            <w:pPr/>
            <w:r>
              <w:rPr>
                <w:rStyle w:val="row-content-rich-text"/>
              </w:rPr>
              <w:t xml:space="preserve">To be recorded when a patient has not received sedation.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c1a7f8d5104b83">
              <w:r>
                <w:rPr>
                  <w:rStyle w:val="Hyperlink"/>
                </w:rPr>
                <w:t xml:space="preserve">Patient—sedation received indicator, yes/no code N</w:t>
              </w:r>
            </w:hyperlink>
          </w:p>
          <w:p>
            <w:pPr>
              <w:spacing w:before="0" w:after="0"/>
            </w:pPr>
            <w:r>
              <w:rPr>
                <w:rStyle w:val="row-content"/>
                <w:color w:val="244061"/>
              </w:rPr>
              <w:t xml:space="preserve">       </w:t>
            </w:r>
            <w:hyperlink w:history="true" r:id="R6488ea4f921d4ad2">
              <w:r>
                <w:rPr>
                  <w:rStyle w:val="Hyperlink"/>
                  <w:color w:val="244061"/>
                </w:rPr>
                <w:t xml:space="preserve">Health</w:t>
              </w:r>
            </w:hyperlink>
            <w:r>
              <w:rPr>
                <w:rStyle w:val="row-content"/>
                <w:color w:val="244061"/>
              </w:rPr>
              <w:t xml:space="preserve">, Superseded 06/09/2018</w:t>
            </w:r>
          </w:p>
          <w:p>
            <w:r>
              <w:br/>
            </w:r>
            <w:r>
              <w:rPr>
                <w:rStyle w:val="row-content"/>
              </w:rPr>
              <w:t xml:space="preserve">See also </w:t>
            </w:r>
            <w:hyperlink w:history="true" r:id="Rccc0ec8d17944461">
              <w:r>
                <w:rPr>
                  <w:rStyle w:val="Hyperlink"/>
                </w:rPr>
                <w:t xml:space="preserve">Patient—sedation type, code N</w:t>
              </w:r>
            </w:hyperlink>
          </w:p>
          <w:p>
            <w:pPr>
              <w:spacing w:before="0" w:after="0"/>
            </w:pPr>
            <w:r>
              <w:rPr>
                <w:rStyle w:val="row-content"/>
                <w:color w:val="244061"/>
              </w:rPr>
              <w:t xml:space="preserve">       </w:t>
            </w:r>
            <w:hyperlink w:history="true" r:id="R48011fb9c92f4b71">
              <w:r>
                <w:rPr>
                  <w:rStyle w:val="Hyperlink"/>
                  <w:color w:val="244061"/>
                </w:rPr>
                <w:t xml:space="preserve">Health</w:t>
              </w:r>
            </w:hyperlink>
            <w:r>
              <w:rPr>
                <w:rStyle w:val="row-content"/>
                <w:color w:val="244061"/>
              </w:rPr>
              <w:t xml:space="preserve">, Standard 06/09/2018</w:t>
            </w:r>
          </w:p>
          <w:p>
            <w:r>
              <w:br/>
            </w:r>
            <w:r>
              <w:rPr>
                <w:rStyle w:val="row-content"/>
              </w:rPr>
              <w:t xml:space="preserve">See also </w:t>
            </w:r>
            <w:hyperlink w:history="true" r:id="Rf95ca33595c84f36">
              <w:r>
                <w:rPr>
                  <w:rStyle w:val="Hyperlink"/>
                </w:rPr>
                <w:t xml:space="preserve">Patient—sedation type, code N</w:t>
              </w:r>
            </w:hyperlink>
          </w:p>
          <w:p>
            <w:pPr>
              <w:spacing w:before="0" w:after="0"/>
            </w:pPr>
            <w:r>
              <w:rPr>
                <w:rStyle w:val="row-content"/>
                <w:color w:val="244061"/>
              </w:rPr>
              <w:t xml:space="preserve">       </w:t>
            </w:r>
            <w:hyperlink w:history="true" r:id="Rf7118d00c8dc409f">
              <w:r>
                <w:rPr>
                  <w:rStyle w:val="Hyperlink"/>
                  <w:color w:val="244061"/>
                </w:rPr>
                <w:t xml:space="preserve">Health</w:t>
              </w:r>
            </w:hyperlink>
            <w:r>
              <w:rPr>
                <w:rStyle w:val="row-content"/>
                <w:color w:val="244061"/>
              </w:rPr>
              <w:t xml:space="preserve">, Superseded 06/09/2018</w:t>
            </w:r>
          </w:p>
          <w:p>
            <w:r>
              <w:br/>
            </w:r>
            <w:r>
              <w:rPr>
                <w:rStyle w:val="row-content"/>
              </w:rPr>
              <w:t xml:space="preserve">See also </w:t>
            </w:r>
            <w:hyperlink w:history="true" r:id="Rbc8961d2f97a4ae4">
              <w:r>
                <w:rPr>
                  <w:rStyle w:val="Hyperlink"/>
                </w:rPr>
                <w:t xml:space="preserve">Patient—type of health professional who administers sedation, bowel cancer diagnostic assessment code N</w:t>
              </w:r>
            </w:hyperlink>
          </w:p>
          <w:p>
            <w:pPr>
              <w:spacing w:before="0" w:after="0"/>
            </w:pPr>
            <w:r>
              <w:rPr>
                <w:rStyle w:val="row-content"/>
                <w:color w:val="244061"/>
              </w:rPr>
              <w:t xml:space="preserve">       </w:t>
            </w:r>
            <w:hyperlink w:history="true" r:id="R737757b3f28947fd">
              <w:r>
                <w:rPr>
                  <w:rStyle w:val="Hyperlink"/>
                  <w:color w:val="244061"/>
                </w:rPr>
                <w:t xml:space="preserve">Health</w:t>
              </w:r>
            </w:hyperlink>
            <w:r>
              <w:rPr>
                <w:rStyle w:val="row-content"/>
                <w:color w:val="244061"/>
              </w:rPr>
              <w:t xml:space="preserve">, Standard 06/09/2018</w:t>
            </w:r>
          </w:p>
          <w:p>
            <w:r>
              <w:br/>
            </w:r>
            <w:r>
              <w:rPr>
                <w:rStyle w:val="row-content"/>
              </w:rPr>
              <w:t xml:space="preserve">See also </w:t>
            </w:r>
            <w:hyperlink w:history="true" r:id="R39bc3d97ec83406b">
              <w:r>
                <w:rPr>
                  <w:rStyle w:val="Hyperlink"/>
                </w:rPr>
                <w:t xml:space="preserve">Patient—type of health professional who administers sedation, bowel cancer diagnostic assessment code N</w:t>
              </w:r>
            </w:hyperlink>
          </w:p>
          <w:p>
            <w:pPr>
              <w:spacing w:before="0" w:after="0"/>
            </w:pPr>
            <w:r>
              <w:rPr>
                <w:rStyle w:val="row-content"/>
                <w:color w:val="244061"/>
              </w:rPr>
              <w:t xml:space="preserve">       </w:t>
            </w:r>
            <w:hyperlink w:history="true" r:id="Rdcf438f28ead44b2">
              <w:r>
                <w:rPr>
                  <w:rStyle w:val="Hyperlink"/>
                  <w:color w:val="244061"/>
                </w:rPr>
                <w:t xml:space="preserve">Health</w:t>
              </w:r>
            </w:hyperlink>
            <w:r>
              <w:rPr>
                <w:rStyle w:val="row-content"/>
                <w:color w:val="244061"/>
              </w:rPr>
              <w:t xml:space="preserve">, Superseded 06/09/2018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a39c9dcf28d4a60">
              <w:r>
                <w:rPr>
                  <w:rStyle w:val="Hyperlink"/>
                </w:rPr>
                <w:t xml:space="preserve">Bowel cancer diagnostic assessment cluster</w:t>
              </w:r>
            </w:hyperlink>
          </w:p>
          <w:p>
            <w:pPr>
              <w:spacing w:before="0" w:after="0"/>
            </w:pPr>
            <w:r>
              <w:rPr>
                <w:rStyle w:val="row-content"/>
                <w:color w:val="244061"/>
              </w:rPr>
              <w:t xml:space="preserve">       </w:t>
            </w:r>
            <w:hyperlink w:history="true" r:id="R5d0b1604bb944e48">
              <w:r>
                <w:rPr>
                  <w:rStyle w:val="Hyperlink"/>
                  <w:color w:val="244061"/>
                </w:rPr>
                <w:t xml:space="preserve">Health</w:t>
              </w:r>
            </w:hyperlink>
            <w:r>
              <w:rPr>
                <w:rStyle w:val="row-content"/>
                <w:color w:val="244061"/>
              </w:rPr>
              <w:t xml:space="preserve">, Superseded 16/01/2020</w:t>
            </w:r>
          </w:p>
          <w:p>
            <w:r>
              <w:rPr>
                <w:rStyle w:val="row-content"/>
                <w:b/>
                <w:i/>
              </w:rPr>
              <w:t xml:space="preserve">DSS specific information: </w:t>
            </w:r>
          </w:p>
          <w:p>
            <w:r>
              <w:rPr>
                <w:rStyle w:val="row-content"/>
              </w:rPr>
              <w:t xml:space="preserve">The level of sedation used should comply with Australian and New Zealand College of Anaesthetists (ANZCA) standards (ANZCA 2014). The level of sedation used should generally be related to the risk of complications for each individual patient as documented in the pre-procedure patient assessment. Further, deep sedation and general anaesthesia may only be used in the presence of an anaesthetist or other appropriately trained and credentialed medical specialist within his/her scope of practice. Non‑anaesthetist medical staff require adequate training in the safe and correct usage of sedation equipment and drugs, and in the management and monitoring of sedated patients in accordance with the guidelines.</w:t>
            </w:r>
          </w:p>
          <w:p>
            <w:r>
              <w:rPr>
                <w:rStyle w:val="row-content"/>
              </w:rPr>
              <w:t xml:space="preserve">Reference:</w:t>
            </w:r>
          </w:p>
          <w:p>
            <w:r>
              <w:rPr>
                <w:rStyle w:val="row-content"/>
              </w:rPr>
              <w:t xml:space="preserve">ANZCA 2014. Guidelines on Sedation and/or Analgesia for Diagnostic and Interventional Medical, Dental or Surgical Procedures. Viewed 16 April 2018, </w:t>
            </w:r>
            <w:hyperlink w:history="true" r:id="Rda014bd612a04cc7">
              <w:r>
                <w:rPr>
                  <w:rStyle w:val="Hyperlink"/>
                </w:rPr>
                <w:t xml:space="preserve">http://www.anzca.edu.au/documents/ps09-2014-guidelines-on-sedation-and-or-analgesia</w:t>
              </w:r>
            </w:hyperlink>
          </w:p>
          <w:p>
            <w:r>
              <w:br/>
            </w:r>
            <w:r>
              <w:br/>
            </w:r>
            <w:hyperlink w:history="true" r:id="R5a7051974a4e4096">
              <w:r>
                <w:rPr>
                  <w:rStyle w:val="Hyperlink"/>
                </w:rPr>
                <w:t xml:space="preserve">Bowel cancer diagnostic assessment cluster</w:t>
              </w:r>
            </w:hyperlink>
          </w:p>
          <w:p>
            <w:pPr>
              <w:spacing w:before="0" w:after="0"/>
            </w:pPr>
            <w:r>
              <w:rPr>
                <w:rStyle w:val="row-content"/>
                <w:color w:val="244061"/>
              </w:rPr>
              <w:t xml:space="preserve">       </w:t>
            </w:r>
            <w:hyperlink w:history="true" r:id="R0ef86b63481c456b">
              <w:r>
                <w:rPr>
                  <w:rStyle w:val="Hyperlink"/>
                  <w:color w:val="244061"/>
                </w:rPr>
                <w:t xml:space="preserve">Health</w:t>
              </w:r>
            </w:hyperlink>
            <w:r>
              <w:rPr>
                <w:rStyle w:val="row-content"/>
                <w:color w:val="244061"/>
              </w:rPr>
              <w:t xml:space="preserve">, Superseded 17/12/2021</w:t>
            </w:r>
          </w:p>
          <w:p>
            <w:r>
              <w:rPr>
                <w:rStyle w:val="row-content"/>
                <w:b/>
                <w:i/>
              </w:rPr>
              <w:t xml:space="preserve">DSS specific information: </w:t>
            </w:r>
          </w:p>
          <w:p>
            <w:r>
              <w:rPr>
                <w:rStyle w:val="row-content"/>
              </w:rPr>
              <w:t xml:space="preserve">The level of sedation used should comply with Australian and New Zealand College of Anaesthetists (ANZCA) standards (ANZCA 2014). The level of sedation used should generally be related to the risk of complications for each individual patient as documented in the pre-procedure patient assessment. Further, deep sedation and general anaesthesia may only be used in the presence of an anaesthetist or other appropriately trained and credentialed medical specialist within his/her scope of practice. Non‑anaesthetist medical staff require adequate training in the safe and correct usage of sedation equipment and drugs, and in the management and monitoring of sedated patients in accordance with the guidelines.</w:t>
            </w:r>
          </w:p>
          <w:p>
            <w:r>
              <w:rPr>
                <w:rStyle w:val="row-content"/>
              </w:rPr>
              <w:t xml:space="preserve">Reference:</w:t>
            </w:r>
          </w:p>
          <w:p>
            <w:r>
              <w:rPr>
                <w:rStyle w:val="row-content"/>
              </w:rPr>
              <w:t xml:space="preserve">ANZCA 2014. Guidelines on Sedation and/or Analgesia for Diagnostic and Interventional Medical, Dental or Surgical Procedures. Viewed 16 April 2018, </w:t>
            </w:r>
            <w:hyperlink w:history="true" r:id="Rbb67903ca1cd4b54">
              <w:r>
                <w:rPr>
                  <w:rStyle w:val="Hyperlink"/>
                </w:rPr>
                <w:t xml:space="preserve">http://www.anzca.edu.au/documents/ps09-2014-guidelines-on-sedation-and-or-analgesia</w:t>
              </w:r>
            </w:hyperlink>
          </w:p>
          <w:p>
            <w:r>
              <w:br/>
            </w:r>
            <w:r>
              <w:br/>
            </w:r>
            <w:hyperlink w:history="true" r:id="R68fac1e75622427e">
              <w:r>
                <w:rPr>
                  <w:rStyle w:val="Hyperlink"/>
                </w:rPr>
                <w:t xml:space="preserve">Bowel cancer diagnostic assessment cluster</w:t>
              </w:r>
            </w:hyperlink>
          </w:p>
          <w:p>
            <w:pPr>
              <w:spacing w:before="0" w:after="0"/>
            </w:pPr>
            <w:r>
              <w:rPr>
                <w:rStyle w:val="row-content"/>
                <w:color w:val="244061"/>
              </w:rPr>
              <w:t xml:space="preserve">       </w:t>
            </w:r>
            <w:hyperlink w:history="true" r:id="R22204b9d642e4829">
              <w:r>
                <w:rPr>
                  <w:rStyle w:val="Hyperlink"/>
                  <w:color w:val="244061"/>
                </w:rPr>
                <w:t xml:space="preserve">Health</w:t>
              </w:r>
            </w:hyperlink>
            <w:r>
              <w:rPr>
                <w:rStyle w:val="row-content"/>
                <w:color w:val="244061"/>
              </w:rPr>
              <w:t xml:space="preserve">, Standard 17/12/2021</w:t>
            </w:r>
          </w:p>
          <w:p>
            <w:r>
              <w:rPr>
                <w:rStyle w:val="row-content"/>
                <w:b/>
                <w:i/>
              </w:rPr>
              <w:t xml:space="preserve">DSS specific information: </w:t>
            </w:r>
          </w:p>
          <w:p>
            <w:r>
              <w:rPr>
                <w:rStyle w:val="row-content"/>
              </w:rPr>
              <w:t xml:space="preserve">The level of sedation used should comply with Australian and New Zealand College of Anaesthetists (ANZCA) standards (ANZCA 2014). The level of sedation used should generally be related to the risk of complications for each individual patient as documented in the pre-procedure patient assessment. Further, deep sedation and general anaesthesia may only be used in the presence of an anaesthetist or other appropriately trained and credentialed medical specialist within his/her scope of practice. Non‑anaesthetist medical staff require adequate training in the safe and correct usage of sedation equipment and drugs, and in the management and monitoring of sedated patients in accordance with the guidelines.</w:t>
            </w:r>
          </w:p>
          <w:p>
            <w:r>
              <w:rPr>
                <w:rStyle w:val="row-content"/>
              </w:rPr>
              <w:t xml:space="preserve">Reference:</w:t>
            </w:r>
          </w:p>
          <w:p>
            <w:r>
              <w:rPr>
                <w:rStyle w:val="row-content"/>
              </w:rPr>
              <w:t xml:space="preserve">ANZCA 2014. Guidelines on Sedation and/or Analgesia for Diagnostic and Interventional Medical, Dental or Surgical Procedures. Viewed 14 October 2021, </w:t>
            </w:r>
            <w:hyperlink w:history="true" r:id="R728c402ed78a438d">
              <w:r>
                <w:rPr>
                  <w:rStyle w:val="Hyperlink"/>
                </w:rPr>
                <w:t xml:space="preserve">https://www.anzca.edu.au/resources/professional-documents/guidelines/ps09-guidelines-sedation-analgesia-for-diagnostic</w:t>
              </w:r>
            </w:hyperlink>
          </w:p>
          <w:p>
            <w:r>
              <w:br/>
            </w:r>
            <w:r>
              <w:br/>
            </w:r>
          </w:p>
        </w:tc>
      </w:tr>
    </w:tbl>
    <w:p/>
    <w:tbl>
      <w:tblPr>
        <w:tblStyle w:val="TableGrid"/>
        <w:tblW w:w="0" w:type="auto"/>
      </w:tblPr>
    </w:tbl>
    <w:p>
      <w:r>
        <w:br/>
      </w:r>
    </w:p>
    <w:sectPr>
      <w:footerReference xmlns:r="http://schemas.openxmlformats.org/officeDocument/2006/relationships" w:type="default" r:id="R141a9889da3048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695923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dc9add042f45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1a9889da30480f" /><Relationship Type="http://schemas.openxmlformats.org/officeDocument/2006/relationships/header" Target="/word/header1.xml" Id="Rccf1883696eb46a6" /><Relationship Type="http://schemas.openxmlformats.org/officeDocument/2006/relationships/settings" Target="/word/settings.xml" Id="R6e2d16a39bf24ca5" /><Relationship Type="http://schemas.openxmlformats.org/officeDocument/2006/relationships/styles" Target="/word/styles.xml" Id="Rc2f2a19f8c814195" /><Relationship Type="http://schemas.openxmlformats.org/officeDocument/2006/relationships/hyperlink" Target="https://meteor.aihw.gov.au/RegistrationAuthority/12" TargetMode="External" Id="Racf82f9d86ed4367" /><Relationship Type="http://schemas.openxmlformats.org/officeDocument/2006/relationships/hyperlink" Target="https://meteor.aihw.gov.au/content/563837" TargetMode="External" Id="Rd6e9098d79ca46f7" /><Relationship Type="http://schemas.openxmlformats.org/officeDocument/2006/relationships/hyperlink" Target="https://meteor.aihw.gov.au/content/270732" TargetMode="External" Id="R495b5752299c44be" /><Relationship Type="http://schemas.openxmlformats.org/officeDocument/2006/relationships/hyperlink" Target="https://meteor.aihw.gov.au/content/563828" TargetMode="External" Id="Rdac1a7f8d5104b83" /><Relationship Type="http://schemas.openxmlformats.org/officeDocument/2006/relationships/hyperlink" Target="https://meteor.aihw.gov.au/RegistrationAuthority/12" TargetMode="External" Id="R6488ea4f921d4ad2" /><Relationship Type="http://schemas.openxmlformats.org/officeDocument/2006/relationships/hyperlink" Target="https://meteor.aihw.gov.au/content/695928" TargetMode="External" Id="Rccc0ec8d17944461" /><Relationship Type="http://schemas.openxmlformats.org/officeDocument/2006/relationships/hyperlink" Target="https://meteor.aihw.gov.au/RegistrationAuthority/12" TargetMode="External" Id="R48011fb9c92f4b71" /><Relationship Type="http://schemas.openxmlformats.org/officeDocument/2006/relationships/hyperlink" Target="https://meteor.aihw.gov.au/content/530119" TargetMode="External" Id="Rf95ca33595c84f36" /><Relationship Type="http://schemas.openxmlformats.org/officeDocument/2006/relationships/hyperlink" Target="https://meteor.aihw.gov.au/RegistrationAuthority/12" TargetMode="External" Id="Rf7118d00c8dc409f" /><Relationship Type="http://schemas.openxmlformats.org/officeDocument/2006/relationships/hyperlink" Target="https://meteor.aihw.gov.au/content/695942" TargetMode="External" Id="Rbc8961d2f97a4ae4" /><Relationship Type="http://schemas.openxmlformats.org/officeDocument/2006/relationships/hyperlink" Target="https://meteor.aihw.gov.au/RegistrationAuthority/12" TargetMode="External" Id="R737757b3f28947fd" /><Relationship Type="http://schemas.openxmlformats.org/officeDocument/2006/relationships/hyperlink" Target="https://meteor.aihw.gov.au/content/530135" TargetMode="External" Id="R39bc3d97ec83406b" /><Relationship Type="http://schemas.openxmlformats.org/officeDocument/2006/relationships/hyperlink" Target="https://meteor.aihw.gov.au/RegistrationAuthority/12" TargetMode="External" Id="Rdcf438f28ead44b2" /><Relationship Type="http://schemas.openxmlformats.org/officeDocument/2006/relationships/hyperlink" Target="https://meteor.aihw.gov.au/content/695220" TargetMode="External" Id="R8a39c9dcf28d4a60" /><Relationship Type="http://schemas.openxmlformats.org/officeDocument/2006/relationships/hyperlink" Target="https://meteor.aihw.gov.au/RegistrationAuthority/12" TargetMode="External" Id="R5d0b1604bb944e48" /><Relationship Type="http://schemas.openxmlformats.org/officeDocument/2006/relationships/hyperlink" Target="http://www.anzca.edu.au/documents/ps09-2014-guidelines-on-sedation-and-or-analgesia" TargetMode="External" Id="Rda014bd612a04cc7" /><Relationship Type="http://schemas.openxmlformats.org/officeDocument/2006/relationships/hyperlink" Target="https://meteor.aihw.gov.au/content/720198" TargetMode="External" Id="R5a7051974a4e4096" /><Relationship Type="http://schemas.openxmlformats.org/officeDocument/2006/relationships/hyperlink" Target="https://meteor.aihw.gov.au/RegistrationAuthority/12" TargetMode="External" Id="R0ef86b63481c456b" /><Relationship Type="http://schemas.openxmlformats.org/officeDocument/2006/relationships/hyperlink" Target="http://www.anzca.edu.au/documents/ps09-2014-guidelines-on-sedation-and-or-analgesia" TargetMode="External" Id="Rbb67903ca1cd4b54" /><Relationship Type="http://schemas.openxmlformats.org/officeDocument/2006/relationships/hyperlink" Target="https://meteor.aihw.gov.au/content/750427" TargetMode="External" Id="R68fac1e75622427e" /><Relationship Type="http://schemas.openxmlformats.org/officeDocument/2006/relationships/hyperlink" Target="https://meteor.aihw.gov.au/RegistrationAuthority/12" TargetMode="External" Id="R22204b9d642e4829" /><Relationship Type="http://schemas.openxmlformats.org/officeDocument/2006/relationships/hyperlink" Target="https://www.anzca.edu.au/resources/professional-documents/guidelines/ps09-guidelines-sedation-analgesia-for-diagnostic" TargetMode="External" Id="R728c402ed78a438d" /></Relationships>
</file>

<file path=word/_rels/header1.xml.rels>&#65279;<?xml version="1.0" encoding="utf-8"?><Relationships xmlns="http://schemas.openxmlformats.org/package/2006/relationships"><Relationship Type="http://schemas.openxmlformats.org/officeDocument/2006/relationships/image" Target="/media/image.png" Id="R0edc9add042f454a" /></Relationships>
</file>