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ceb8f784b64593" /></Relationships>
</file>

<file path=word/document.xml><?xml version="1.0" encoding="utf-8"?>
<w:document xmlns:r="http://schemas.openxmlformats.org/officeDocument/2006/relationships" xmlns:w="http://schemas.openxmlformats.org/wordprocessingml/2006/main">
  <w:body>
    <w:p>
      <w:pPr>
        <w:pStyle w:val="Title"/>
      </w:pPr>
      <w:r>
        <w:t>Birth event—main indication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indication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c0486a1b0e4f09">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for a caesarean section being performed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3dc1f7f4c64350">
              <w:r>
                <w:rPr>
                  <w:rStyle w:val="Hyperlink"/>
                </w:rPr>
                <w:t xml:space="preserve">Birth event—main indication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23c05c2d5547c1">
              <w:r>
                <w:rPr>
                  <w:rStyle w:val="Hyperlink"/>
                </w:rPr>
                <w:t xml:space="preserve">Indication for caesarean section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Lack of progress in the first stage; greater than 3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Previous severe perineal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compromise</w:t>
            </w:r>
          </w:p>
          <w:p>
            <w:pPr>
              <w:spacing w:after="160"/>
            </w:pPr>
            <w:r>
              <w:rPr>
                <w:rStyle w:val="row-content-rich-text"/>
              </w:rPr>
              <w:t xml:space="preserve">Includes suspected or actual fetal compromise and intra uterine growth restriction.</w:t>
            </w:r>
          </w:p>
          <w:p>
            <w:pPr>
              <w:spacing w:after="160"/>
            </w:pPr>
            <w:r>
              <w:rPr>
                <w:rStyle w:val="row-content-rich-text"/>
              </w:rPr>
              <w:t xml:space="preserve">CODE 10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May be appropriate for cases of unsuccessful induction.</w:t>
            </w:r>
          </w:p>
          <w:p>
            <w:pPr>
              <w:spacing w:after="160"/>
            </w:pPr>
            <w:r>
              <w:rPr>
                <w:rStyle w:val="row-content-rich-text"/>
              </w:rPr>
              <w:t xml:space="preserve">CODE 11   Lack of progress in the first stage; greater than 3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CODE 12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13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14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15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Recorded when the caesarean section is planned or in the case of an emergency caesarean section when the vessels may have ruptured.</w:t>
            </w:r>
          </w:p>
          <w:p>
            <w:pPr>
              <w:spacing w:after="160"/>
            </w:pPr>
            <w:r>
              <w:rPr>
                <w:rStyle w:val="row-content-rich-text"/>
              </w:rPr>
              <w:t xml:space="preserve">CODE 16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Should only be recorded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15 is to be recorded as the main indication and Code 16 as an additional indication.</w:t>
            </w:r>
          </w:p>
          <w:p>
            <w:pPr>
              <w:spacing w:after="160"/>
            </w:pPr>
            <w:r>
              <w:rPr>
                <w:rStyle w:val="row-content-rich-text"/>
              </w:rPr>
              <w:t xml:space="preserve">CODE 22   Previous severe perineal trauma</w:t>
            </w:r>
          </w:p>
          <w:p>
            <w:pPr>
              <w:spacing w:after="160"/>
            </w:pPr>
            <w:r>
              <w:rPr>
                <w:rStyle w:val="row-content-rich-text"/>
              </w:rPr>
              <w:t xml:space="preserve">Includes previous 4th degree perineal tears and other perineal damage or injury where a female is symptomatic and the clinician determines the caesarean section is justified.</w:t>
            </w:r>
          </w:p>
          <w:p>
            <w:pPr>
              <w:spacing w:after="160"/>
            </w:pPr>
            <w:r>
              <w:rPr>
                <w:rStyle w:val="row-content-rich-text"/>
              </w:rPr>
              <w:t xml:space="preserve">CODE 29   Other obstetric, medical, surgical, psychological indications</w:t>
            </w:r>
          </w:p>
          <w:p>
            <w:pPr>
              <w:spacing w:after="160"/>
            </w:pPr>
            <w:r>
              <w:rPr>
                <w:rStyle w:val="row-content-rich-text"/>
              </w:rPr>
              <w:t xml:space="preserve">Where a female has a psychopathological indication for caesarean section, e.g. extreme fear of natural childbirth, this code should be recorded. It is not to be recorded for psychosocial indications which should recorded as Code 30.</w:t>
            </w:r>
          </w:p>
          <w:p>
            <w:pPr>
              <w:spacing w:after="160"/>
            </w:pPr>
            <w:r>
              <w:rPr>
                <w:rStyle w:val="row-content-rich-text"/>
              </w:rPr>
              <w:t xml:space="preserve">CODE 30   Maternal choice in the absence of any obstetric, medical, surgical, psychological indications</w:t>
            </w:r>
          </w:p>
          <w:p>
            <w:pPr>
              <w:spacing w:after="160"/>
            </w:pPr>
            <w:r>
              <w:rPr>
                <w:rStyle w:val="row-content-rich-text"/>
              </w:rPr>
              <w:t xml:space="preserve">Includes psychosocial indications.</w:t>
            </w:r>
          </w:p>
          <w:p>
            <w:pPr/>
            <w:r>
              <w:rPr>
                <w:rStyle w:val="row-content-rich-text"/>
              </w:rPr>
              <w:t xml:space="preserve">Not to be recorded in conjunction with additional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Codes 4 to 9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one code may be recorded.</w:t>
            </w:r>
          </w:p>
          <w:p>
            <w:pPr>
              <w:spacing w:after="160"/>
            </w:pPr>
            <w:r>
              <w:rPr>
                <w:rStyle w:val="row-content-rich-text"/>
              </w:rPr>
              <w:t xml:space="preserve">Up to 2 additional indications may be recorded using the </w:t>
            </w:r>
            <w:hyperlink w:history="true" r:id="R192be287d6654802">
              <w:r>
                <w:rPr>
                  <w:rStyle w:val="Hyperlink"/>
                </w:rPr>
                <w:t xml:space="preserve">Birth event—additional indication for caesarean section, code N[N]</w:t>
              </w:r>
            </w:hyperlink>
            <w:r>
              <w:rPr>
                <w:rStyle w:val="row-content-rich-text"/>
              </w:rPr>
              <w:t xml:space="preserve"> once main indication is completed.</w:t>
            </w:r>
          </w:p>
          <w:p>
            <w:pPr/>
            <w:r>
              <w:rPr>
                <w:rStyle w:val="row-content-rich-text"/>
              </w:rPr>
              <w:t xml:space="preserve">Jurisdictions that record perinatal data using the ICD-10-AM may have more than one unique ICD-10-AM code that maps to a single permissible value for the </w:t>
            </w:r>
            <w:hyperlink w:history="true" r:id="R0223581b30a0455f">
              <w:r>
                <w:rPr>
                  <w:rStyle w:val="Hyperlink"/>
                </w:rPr>
                <w:t xml:space="preserve">Birth event—main indication for caesarean section, code N[N]</w:t>
              </w:r>
            </w:hyperlink>
            <w:r>
              <w:rPr>
                <w:rStyle w:val="row-content-rich-text"/>
              </w:rPr>
              <w:t xml:space="preserve"> and </w:t>
            </w:r>
            <w:hyperlink w:history="true" r:id="R842b767d8ddc4bb5">
              <w:r>
                <w:rPr>
                  <w:rStyle w:val="Hyperlink"/>
                </w:rPr>
                <w:t xml:space="preserve">Birth event—additional indication for caesarean section, code N[N]</w:t>
              </w:r>
            </w:hyperlink>
            <w:r>
              <w:rPr>
                <w:rStyle w:val="row-content-rich-text"/>
              </w:rPr>
              <w:t xml:space="preserve"> data elements. In these cases, the relevant permissible value should only be recorded once.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should be the indication that the clinician attending the birth determines to be the main reason for the caesarean section being performed. It should be determined at the time of delivery and not revised later or selected based on information that becomes available after delivery such as results of tests or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2b47f707a14536">
              <w:r>
                <w:rPr>
                  <w:rStyle w:val="Hyperlink"/>
                </w:rPr>
                <w:t xml:space="preserve">Birth event—main indication for caesarean section, code N[N]</w:t>
              </w:r>
            </w:hyperlink>
          </w:p>
          <w:p>
            <w:pPr>
              <w:spacing w:before="0" w:after="0"/>
            </w:pPr>
            <w:r>
              <w:rPr>
                <w:rStyle w:val="row-content"/>
                <w:color w:val="244061"/>
              </w:rPr>
              <w:t xml:space="preserve">       </w:t>
            </w:r>
            <w:hyperlink w:history="true" r:id="R7e3580904d194f68">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c412f168edbb4372">
              <w:r>
                <w:rPr>
                  <w:rStyle w:val="Hyperlink"/>
                </w:rPr>
                <w:t xml:space="preserve">Birth event—main indication for caesarean section, code N[N]</w:t>
              </w:r>
            </w:hyperlink>
          </w:p>
          <w:p>
            <w:pPr>
              <w:spacing w:before="0" w:after="0"/>
            </w:pPr>
            <w:r>
              <w:rPr>
                <w:rStyle w:val="row-content"/>
                <w:color w:val="244061"/>
              </w:rPr>
              <w:t xml:space="preserve">       </w:t>
            </w:r>
            <w:hyperlink w:history="true" r:id="R6d9bf4d4e0a6423e">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b871ec5347164e92">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96150bcf3a724e05">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f0bb78c60a214ff3">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9a1429311ac44c16">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dffec395f5de4c28">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aa921c87dda44cda">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45f254e0446a433c">
              <w:r>
                <w:rPr>
                  <w:rStyle w:val="Hyperlink"/>
                </w:rPr>
                <w:t xml:space="preserve">Birth event—birth method, code N</w:t>
              </w:r>
            </w:hyperlink>
          </w:p>
          <w:p>
            <w:pPr>
              <w:spacing w:before="0" w:after="0"/>
            </w:pPr>
            <w:r>
              <w:rPr>
                <w:rStyle w:val="row-content"/>
                <w:color w:val="244061"/>
              </w:rPr>
              <w:t xml:space="preserve">       </w:t>
            </w:r>
            <w:hyperlink w:history="true" r:id="R87c5d48891ee4ee5">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6d3e349b394e0f">
              <w:r>
                <w:rPr>
                  <w:rStyle w:val="Hyperlink"/>
                </w:rPr>
                <w:t xml:space="preserve">Perinatal NBEDS 2019–20</w:t>
              </w:r>
            </w:hyperlink>
          </w:p>
          <w:p>
            <w:pPr>
              <w:spacing w:before="0" w:after="0"/>
            </w:pPr>
            <w:r>
              <w:rPr>
                <w:rStyle w:val="row-content"/>
                <w:color w:val="244061"/>
              </w:rPr>
              <w:t xml:space="preserve">       </w:t>
            </w:r>
            <w:hyperlink w:history="true" r:id="R63bb583e7f9149a5">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190687c1fa8a4403">
              <w:r>
                <w:rPr>
                  <w:rStyle w:val="Hyperlink"/>
                </w:rPr>
                <w:t xml:space="preserve">Birth event—birth method, code N</w:t>
              </w:r>
            </w:hyperlink>
            <w:r>
              <w:rPr>
                <w:rStyle w:val="row-content"/>
              </w:rPr>
              <w:t xml:space="preserve"> data element is Code 4 (Caesarean section).</w:t>
            </w:r>
          </w:p>
          <w:p>
            <w:r>
              <w:br/>
            </w:r>
            <w:r>
              <w:br/>
            </w:r>
            <w:hyperlink w:history="true" r:id="Rac83ae2dc7af47c9">
              <w:r>
                <w:rPr>
                  <w:rStyle w:val="Hyperlink"/>
                </w:rPr>
                <w:t xml:space="preserve">Perinatal NBEDS 2020–21</w:t>
              </w:r>
            </w:hyperlink>
          </w:p>
          <w:p>
            <w:pPr>
              <w:spacing w:before="0" w:after="0"/>
            </w:pPr>
            <w:r>
              <w:rPr>
                <w:rStyle w:val="row-content"/>
                <w:color w:val="244061"/>
              </w:rPr>
              <w:t xml:space="preserve">       </w:t>
            </w:r>
            <w:hyperlink w:history="true" r:id="R6c57dc3365ef4072">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69fd01dba3144bdd">
              <w:r>
                <w:rPr>
                  <w:rStyle w:val="Hyperlink"/>
                </w:rPr>
                <w:t xml:space="preserve">Birth event—birth method, code N</w:t>
              </w:r>
            </w:hyperlink>
            <w:r>
              <w:rPr>
                <w:rStyle w:val="row-content"/>
              </w:rPr>
              <w:t xml:space="preserve"> data element is Code 4 (Caesarean section).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36c3ae8be034633">
              <w:r>
                <w:rPr>
                  <w:rStyle w:val="Hyperlink"/>
                </w:rPr>
                <w:t xml:space="preserve">Caesarean section at less than 37, 38 and 39 completed weeks gestation without medical or obstetric indication, 2017</w:t>
              </w:r>
            </w:hyperlink>
          </w:p>
          <w:p>
            <w:pPr>
              <w:spacing w:before="0" w:after="0"/>
            </w:pPr>
            <w:r>
              <w:rPr>
                <w:rStyle w:val="row-content"/>
                <w:color w:val="244061"/>
              </w:rPr>
              <w:t xml:space="preserve">       </w:t>
            </w:r>
            <w:hyperlink w:history="true" r:id="Rac16d1a61dff405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28bc478f1334b75">
              <w:r>
                <w:rPr>
                  <w:rStyle w:val="Hyperlink"/>
                </w:rPr>
                <w:t xml:space="preserve">Caesarean section or induction of labour at less than 37, 38 and 39 completed weeks gestation without medical or obstetric indication, 2017</w:t>
              </w:r>
            </w:hyperlink>
          </w:p>
          <w:p>
            <w:pPr>
              <w:spacing w:before="0" w:after="0"/>
            </w:pPr>
            <w:r>
              <w:rPr>
                <w:rStyle w:val="row-content"/>
                <w:color w:val="244061"/>
              </w:rPr>
              <w:t xml:space="preserve">       </w:t>
            </w:r>
            <w:hyperlink w:history="true" r:id="R711cee723344433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8bce426c6de4171">
              <w:r>
                <w:rPr>
                  <w:rStyle w:val="Hyperlink"/>
                </w:rPr>
                <w:t xml:space="preserve">Early planned caesarean section without medical or obstetric indication, 2015</w:t>
              </w:r>
            </w:hyperlink>
          </w:p>
          <w:p>
            <w:pPr>
              <w:spacing w:before="0" w:after="0"/>
            </w:pPr>
            <w:r>
              <w:rPr>
                <w:rStyle w:val="row-content"/>
                <w:color w:val="244061"/>
              </w:rPr>
              <w:t xml:space="preserve">       </w:t>
            </w:r>
            <w:hyperlink w:history="true" r:id="R2263ee61b06c4be2">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0" w:type="auto"/>
      </w:tblPr>
    </w:tbl>
    <w:p>
      <w:r>
        <w:br/>
      </w:r>
    </w:p>
    <w:sectPr>
      <w:footerReference xmlns:r="http://schemas.openxmlformats.org/officeDocument/2006/relationships" w:type="default" r:id="R2cc8207e049f4e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695698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886c7ccc1146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c8207e049f4e16" /><Relationship Type="http://schemas.openxmlformats.org/officeDocument/2006/relationships/header" Target="/word/header1.xml" Id="R8bb668225f3f4ad8" /><Relationship Type="http://schemas.openxmlformats.org/officeDocument/2006/relationships/settings" Target="/word/settings.xml" Id="Rae2ccbfa6e95433e" /><Relationship Type="http://schemas.openxmlformats.org/officeDocument/2006/relationships/styles" Target="/word/styles.xml" Id="Rd38d1f558f414302" /><Relationship Type="http://schemas.openxmlformats.org/officeDocument/2006/relationships/hyperlink" Target="https://meteor.aihw.gov.au/RegistrationAuthority/12" TargetMode="External" Id="Rf3c0486a1b0e4f09" /><Relationship Type="http://schemas.openxmlformats.org/officeDocument/2006/relationships/hyperlink" Target="https://meteor.aihw.gov.au/content/695695" TargetMode="External" Id="Rc93dc1f7f4c64350" /><Relationship Type="http://schemas.openxmlformats.org/officeDocument/2006/relationships/hyperlink" Target="https://meteor.aihw.gov.au/content/695687" TargetMode="External" Id="R4e23c05c2d5547c1" /><Relationship Type="http://schemas.openxmlformats.org/officeDocument/2006/relationships/hyperlink" Target="https://meteor.aihw.gov.au/content/695691" TargetMode="External" Id="R192be287d6654802" /><Relationship Type="http://schemas.openxmlformats.org/officeDocument/2006/relationships/hyperlink" Target="https://meteor.aihw.gov.au/content/695698" TargetMode="External" Id="R0223581b30a0455f" /><Relationship Type="http://schemas.openxmlformats.org/officeDocument/2006/relationships/hyperlink" Target="https://meteor.aihw.gov.au/content/695691" TargetMode="External" Id="R842b767d8ddc4bb5" /><Relationship Type="http://schemas.openxmlformats.org/officeDocument/2006/relationships/hyperlink" Target="https://meteor.aihw.gov.au/content/668868" TargetMode="External" Id="R372b47f707a14536" /><Relationship Type="http://schemas.openxmlformats.org/officeDocument/2006/relationships/hyperlink" Target="https://meteor.aihw.gov.au/RegistrationAuthority/12" TargetMode="External" Id="R7e3580904d194f68" /><Relationship Type="http://schemas.openxmlformats.org/officeDocument/2006/relationships/hyperlink" Target="https://meteor.aihw.gov.au/content/733449" TargetMode="External" Id="Rc412f168edbb4372" /><Relationship Type="http://schemas.openxmlformats.org/officeDocument/2006/relationships/hyperlink" Target="https://meteor.aihw.gov.au/RegistrationAuthority/12" TargetMode="External" Id="R6d9bf4d4e0a6423e" /><Relationship Type="http://schemas.openxmlformats.org/officeDocument/2006/relationships/hyperlink" Target="https://meteor.aihw.gov.au/RegistrationAuthority/15" TargetMode="External" Id="Rb871ec5347164e92" /><Relationship Type="http://schemas.openxmlformats.org/officeDocument/2006/relationships/hyperlink" Target="https://meteor.aihw.gov.au/content/695691" TargetMode="External" Id="R96150bcf3a724e05" /><Relationship Type="http://schemas.openxmlformats.org/officeDocument/2006/relationships/hyperlink" Target="https://meteor.aihw.gov.au/RegistrationAuthority/12" TargetMode="External" Id="Rf0bb78c60a214ff3" /><Relationship Type="http://schemas.openxmlformats.org/officeDocument/2006/relationships/hyperlink" Target="https://meteor.aihw.gov.au/content/733446" TargetMode="External" Id="R9a1429311ac44c16" /><Relationship Type="http://schemas.openxmlformats.org/officeDocument/2006/relationships/hyperlink" Target="https://meteor.aihw.gov.au/RegistrationAuthority/12" TargetMode="External" Id="Rdffec395f5de4c28" /><Relationship Type="http://schemas.openxmlformats.org/officeDocument/2006/relationships/hyperlink" Target="https://meteor.aihw.gov.au/RegistrationAuthority/15" TargetMode="External" Id="Raa921c87dda44cda" /><Relationship Type="http://schemas.openxmlformats.org/officeDocument/2006/relationships/hyperlink" Target="https://meteor.aihw.gov.au/content/695372" TargetMode="External" Id="R45f254e0446a433c" /><Relationship Type="http://schemas.openxmlformats.org/officeDocument/2006/relationships/hyperlink" Target="https://meteor.aihw.gov.au/RegistrationAuthority/12" TargetMode="External" Id="R87c5d48891ee4ee5" /><Relationship Type="http://schemas.openxmlformats.org/officeDocument/2006/relationships/hyperlink" Target="https://meteor.aihw.gov.au/content/694991" TargetMode="External" Id="R156d3e349b394e0f" /><Relationship Type="http://schemas.openxmlformats.org/officeDocument/2006/relationships/hyperlink" Target="https://meteor.aihw.gov.au/RegistrationAuthority/12" TargetMode="External" Id="R63bb583e7f9149a5" /><Relationship Type="http://schemas.openxmlformats.org/officeDocument/2006/relationships/hyperlink" Target="https://meteor.aihw.gov.au/content/695372" TargetMode="External" Id="R190687c1fa8a4403" /><Relationship Type="http://schemas.openxmlformats.org/officeDocument/2006/relationships/hyperlink" Target="https://meteor.aihw.gov.au/content/716067" TargetMode="External" Id="Rac83ae2dc7af47c9" /><Relationship Type="http://schemas.openxmlformats.org/officeDocument/2006/relationships/hyperlink" Target="https://meteor.aihw.gov.au/RegistrationAuthority/12" TargetMode="External" Id="R6c57dc3365ef4072" /><Relationship Type="http://schemas.openxmlformats.org/officeDocument/2006/relationships/hyperlink" Target="https://meteor.aihw.gov.au/content/695372" TargetMode="External" Id="R69fd01dba3144bdd" /><Relationship Type="http://schemas.openxmlformats.org/officeDocument/2006/relationships/hyperlink" Target="https://meteor.aihw.gov.au/content/723681" TargetMode="External" Id="R236c3ae8be034633" /><Relationship Type="http://schemas.openxmlformats.org/officeDocument/2006/relationships/hyperlink" Target="https://meteor.aihw.gov.au/RegistrationAuthority/18" TargetMode="External" Id="Rac16d1a61dff4052" /><Relationship Type="http://schemas.openxmlformats.org/officeDocument/2006/relationships/hyperlink" Target="https://meteor.aihw.gov.au/content/724678" TargetMode="External" Id="Rf28bc478f1334b75" /><Relationship Type="http://schemas.openxmlformats.org/officeDocument/2006/relationships/hyperlink" Target="https://meteor.aihw.gov.au/RegistrationAuthority/18" TargetMode="External" Id="R711cee7233444330" /><Relationship Type="http://schemas.openxmlformats.org/officeDocument/2006/relationships/hyperlink" Target="https://meteor.aihw.gov.au/content/709063" TargetMode="External" Id="R08bce426c6de4171" /><Relationship Type="http://schemas.openxmlformats.org/officeDocument/2006/relationships/hyperlink" Target="https://meteor.aihw.gov.au/RegistrationAuthority/18" TargetMode="External" Id="R2263ee61b06c4be2" /></Relationships>
</file>

<file path=word/_rels/header1.xml.rels>&#65279;<?xml version="1.0" encoding="utf-8"?><Relationships xmlns="http://schemas.openxmlformats.org/package/2006/relationships"><Relationship Type="http://schemas.openxmlformats.org/officeDocument/2006/relationships/image" Target="/media/image.png" Id="R45886c7ccc11463c" /></Relationships>
</file>