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dc33a3e03141a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19259b2414ebc">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8ae89b42568441f">
              <w:r>
                <w:rPr>
                  <w:rStyle w:val="Hyperlink"/>
                  <w:i/>
                </w:rPr>
                <w:t xml:space="preserve">Australian Institute of Health and Welfare Act 1987</w:t>
              </w:r>
            </w:hyperlink>
            <w:r>
              <w:rPr>
                <w:rStyle w:val="row-content-rich-text"/>
                <w:i/>
              </w:rPr>
              <w:t xml:space="preserve"> </w:t>
            </w:r>
            <w:r>
              <w:rPr>
                <w:rStyle w:val="row-content-rich-text"/>
              </w:rPr>
              <w:t xml:space="preserve">(AIHW Act), governed by a </w:t>
            </w:r>
            <w:hyperlink w:history="true" r:id="R316bbb77678f427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f3324f9906274d80">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87333383214e49da">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198b0dadd294b87">
              <w:r>
                <w:rPr>
                  <w:rStyle w:val="Hyperlink"/>
                  <w:i/>
                </w:rPr>
                <w:t xml:space="preserve">Housing assistance in Australia</w:t>
              </w:r>
            </w:hyperlink>
            <w:r>
              <w:rPr>
                <w:rStyle w:val="row-content-rich-text"/>
              </w:rPr>
              <w:t xml:space="preserve"> reports and the Productivity Commission's annual </w:t>
            </w:r>
            <w:hyperlink w:history="true" r:id="R2ac0098f2ee24ea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6d580bd7953b421a">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f7d25cfd044a47d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f8f7d39365454435">
              <w:r>
                <w:rPr>
                  <w:rStyle w:val="Hyperlink"/>
                  <w:i/>
                </w:rPr>
                <w:t xml:space="preserve">State owned and managed Indigenous housing (SOMIH)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71%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public housing or community housing data.</w:t>
            </w:r>
          </w:p>
          <w:p>
            <w:pPr>
              <w:pStyle w:val="ListParagraph"/>
              <w:numPr>
                <w:ilvl w:val="0"/>
                <w:numId w:val="5"/>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System improvements led to better data quality in 2017–18 for households, income and waitlist information. Mismatches may still exist between the number of persons in the household and their relationship status. When this occurs these variables are recorded as unknown.</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Unit record data were reported for the first time in 2017–18. In 2016–17, due to data quality issues, only limited aggregate information relating to stock numbers and overcrowding was available.</w:t>
            </w:r>
          </w:p>
          <w:p>
            <w:pPr>
              <w:pStyle w:val="ListParagraph"/>
              <w:numPr>
                <w:ilvl w:val="0"/>
                <w:numId w:val="8"/>
              </w:numPr>
            </w:pPr>
            <w:r>
              <w:rPr>
                <w:rStyle w:val="row-content-rich-text"/>
              </w:rPr>
              <w:t xml:space="preserve">Greatest need information is not collected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2019–10 onwards, low income cut-offs were obtained from the biennial ABS Survey of Income and Housing (SIH). Low income cut-offs for 2017–18 are based on 2016–17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name and surname and a date of birth accuracy indicator were added to the collection in order to produce a statistical linkage key (SLK).</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South Australia</w:t>
            </w:r>
          </w:p>
          <w:p>
            <w:pPr>
              <w:pStyle w:val="ListParagraph"/>
              <w:numPr>
                <w:ilvl w:val="0"/>
                <w:numId w:val="11"/>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2"/>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2"/>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3"/>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59165f8460459f">
              <w:r>
                <w:rPr>
                  <w:rStyle w:val="Hyperlink"/>
                </w:rPr>
                <w:t xml:space="preserve">State Owned and Managed Indigenous Housing Data Collection, 2016–17; Quality Statement</w:t>
              </w:r>
            </w:hyperlink>
          </w:p>
          <w:p>
            <w:pPr>
              <w:spacing w:before="0" w:after="0"/>
            </w:pPr>
            <w:r>
              <w:rPr>
                <w:rStyle w:val="row-content"/>
                <w:color w:val="244061"/>
              </w:rPr>
              <w:t xml:space="preserve">       </w:t>
            </w:r>
            <w:hyperlink w:history="true" r:id="R9fb7ab8b480f4158">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3e7d7663fb644702">
              <w:r>
                <w:rPr>
                  <w:rStyle w:val="Hyperlink"/>
                </w:rPr>
                <w:t xml:space="preserve">State Owned and Managed Indigenous Housing Data Collection, 2018–19; Quality Statement</w:t>
              </w:r>
            </w:hyperlink>
          </w:p>
          <w:p>
            <w:pPr>
              <w:spacing w:before="0" w:after="0"/>
            </w:pPr>
            <w:r>
              <w:rPr>
                <w:rStyle w:val="row-content"/>
                <w:color w:val="244061"/>
              </w:rPr>
              <w:t xml:space="preserve">       </w:t>
            </w:r>
            <w:hyperlink w:history="true" r:id="R6903d2936e6e4716">
              <w:r>
                <w:rPr>
                  <w:rStyle w:val="Hyperlink"/>
                  <w:color w:val="244061"/>
                </w:rPr>
                <w:t xml:space="preserve">AIHW Data Quality Statements</w:t>
              </w:r>
            </w:hyperlink>
            <w:r>
              <w:rPr>
                <w:rStyle w:val="row-content"/>
                <w:color w:val="244061"/>
              </w:rPr>
              <w:t xml:space="preserve">, Superseded 08/01/2021</w:t>
            </w:r>
          </w:p>
          <w:p>
            <w:r>
              <w:br/>
            </w:r>
          </w:p>
        </w:tc>
      </w:tr>
    </w:tbl>
    <w:p>
      <w:r>
        <w:br/>
      </w:r>
    </w:p>
    <w:sectPr>
      <w:footerReference xmlns:r="http://schemas.openxmlformats.org/officeDocument/2006/relationships" w:type="default" r:id="Rdd9fae3aed16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e22ea958a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fae3aed164bba" /><Relationship Type="http://schemas.openxmlformats.org/officeDocument/2006/relationships/header" Target="/word/header1.xml" Id="Rab9fdbf11bc84158" /><Relationship Type="http://schemas.openxmlformats.org/officeDocument/2006/relationships/settings" Target="/word/settings.xml" Id="R5d7d9f9449484597" /><Relationship Type="http://schemas.openxmlformats.org/officeDocument/2006/relationships/styles" Target="/word/styles.xml" Id="R983284a05b1f434c" /><Relationship Type="http://schemas.openxmlformats.org/officeDocument/2006/relationships/hyperlink" Target="https://meteor.aihw.gov.au/RegistrationAuthority/5" TargetMode="External" Id="Rb8119259b2414ebc" /><Relationship Type="http://schemas.openxmlformats.org/officeDocument/2006/relationships/numbering" Target="/word/numbering.xml" Id="Rbbad84385fff497a" /><Relationship Type="http://schemas.openxmlformats.org/officeDocument/2006/relationships/hyperlink" Target="https://www.legislation.gov.au/Series/C2004A03450" TargetMode="External" Id="Rf8ae89b42568441f" /><Relationship Type="http://schemas.openxmlformats.org/officeDocument/2006/relationships/hyperlink" Target="http://www.aihw.gov.au/aihw-board/" TargetMode="External" Id="R316bbb77678f4271" /><Relationship Type="http://schemas.openxmlformats.org/officeDocument/2006/relationships/hyperlink" Target="https://www.legislation.gov.au/Series/C2004A03712" TargetMode="External" Id="Rf3324f9906274d80" /><Relationship Type="http://schemas.openxmlformats.org/officeDocument/2006/relationships/hyperlink" Target="http://www.aihw.gov.au/" TargetMode="External" Id="R87333383214e49da" /><Relationship Type="http://schemas.openxmlformats.org/officeDocument/2006/relationships/hyperlink" Target="https://www.aihw.gov.au/reports-statistics/health-welfare-services/housing-assistance/overview" TargetMode="External" Id="R8198b0dadd294b87" /><Relationship Type="http://schemas.openxmlformats.org/officeDocument/2006/relationships/hyperlink" Target="http://www.pc.gov.au/research/ongoing/report-on-government-services" TargetMode="External" Id="R2ac0098f2ee24eac" /><Relationship Type="http://schemas.openxmlformats.org/officeDocument/2006/relationships/hyperlink" Target="https://www.aihw.gov.au/our-services/data-on-request" TargetMode="External" Id="R6d580bd7953b421a" /><Relationship Type="http://schemas.openxmlformats.org/officeDocument/2006/relationships/hyperlink" Target="mailto:info@aihw.gov.au" TargetMode="External" Id="Rf7d25cfd044a47d1" /><Relationship Type="http://schemas.openxmlformats.org/officeDocument/2006/relationships/hyperlink" Target="https://meteor.aihw.gov.au/content/687084" TargetMode="External" Id="Rf8f7d39365454435" /><Relationship Type="http://schemas.openxmlformats.org/officeDocument/2006/relationships/hyperlink" Target="https://meteor.aihw.gov.au/content/677605" TargetMode="External" Id="Re059165f8460459f" /><Relationship Type="http://schemas.openxmlformats.org/officeDocument/2006/relationships/hyperlink" Target="https://meteor.aihw.gov.au/RegistrationAuthority/5" TargetMode="External" Id="R9fb7ab8b480f4158" /><Relationship Type="http://schemas.openxmlformats.org/officeDocument/2006/relationships/hyperlink" Target="https://meteor.aihw.gov.au/content/720655" TargetMode="External" Id="R3e7d7663fb644702" /><Relationship Type="http://schemas.openxmlformats.org/officeDocument/2006/relationships/hyperlink" Target="https://meteor.aihw.gov.au/RegistrationAuthority/5" TargetMode="External" Id="R6903d2936e6e4716" /></Relationships>
</file>

<file path=word/_rels/header1.xml.rels>&#65279;<?xml version="1.0" encoding="utf-8"?><Relationships xmlns="http://schemas.openxmlformats.org/package/2006/relationships"><Relationship Type="http://schemas.openxmlformats.org/officeDocument/2006/relationships/image" Target="/media/image.png" Id="Raf6e22ea958a4044" /></Relationships>
</file>