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58b85e8e174c41"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42bf762254f8d">
              <w:r>
                <w:rPr>
                  <w:rStyle w:val="Hyperlink"/>
                  <w:color w:val="244061"/>
                </w:rPr>
                <w:t xml:space="preserve">AIHW Data Quality Statements</w:t>
              </w:r>
            </w:hyperlink>
            <w:r>
              <w:rPr>
                <w:rStyle w:val="row-content"/>
                <w:color w:val="244061"/>
              </w:rPr>
              <w:t xml:space="preserve">, Superseded 21/07/2020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2018. Financial information is for the year ending 30 June 2018.</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1230b44b34044b9">
              <w:r>
                <w:rPr>
                  <w:rStyle w:val="Hyperlink"/>
                  <w:i/>
                </w:rPr>
                <w:t xml:space="preserve">Australian Institute of Health and Welfare Act 1987</w:t>
              </w:r>
            </w:hyperlink>
            <w:r>
              <w:rPr>
                <w:rStyle w:val="row-content-rich-text"/>
              </w:rPr>
              <w:t xml:space="preserve"> (AIHW Act), governed by a </w:t>
            </w:r>
            <w:hyperlink w:history="true" r:id="R017f35ba82dd48b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537713781fe341f1">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61c6f6aae142430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2017–18 financial year and is mostly a 30 June 2018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0a7263b4be94935">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82953d5cc6ab41bb">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3e841317427e4dc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180c10f5de7447d">
              <w:r>
                <w:rPr>
                  <w:rStyle w:val="Hyperlink"/>
                  <w:i/>
                </w:rPr>
                <w:t xml:space="preserve">Indigenous community housing data set specification 2013-18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included in ‘total recurrent costs’ is underreported by ICHOs in New South Wales on the dwellings they own. Furthermore, ICHOs manage a large number of state-owned dwellings that are reported under ICH, on which depreciation is incurred by the responsible government agency, rather than the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An organisation reporting for the first time in 2017–18 only provided dwelling level information without the corresponding household details. As a result, care is advised when comparing household information across years.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spacing w:after="160"/>
            </w:pPr>
            <w:r>
              <w:rPr>
                <w:rStyle w:val="row-content-rich-text"/>
                <w:b/>
              </w:rPr>
              <w:t xml:space="preserve">Tasmania</w:t>
            </w:r>
          </w:p>
          <w:p>
            <w:pPr>
              <w:pStyle w:val="ListParagraph"/>
              <w:numPr>
                <w:ilvl w:val="0"/>
                <w:numId w:val="7"/>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One ICHO includes depreciation in the calculation of net expenditure while the other does not.</w:t>
            </w:r>
          </w:p>
          <w:p>
            <w:pPr>
              <w:pStyle w:val="ListParagraph"/>
              <w:numPr>
                <w:ilvl w:val="0"/>
                <w:numId w:val="7"/>
              </w:numPr>
            </w:pPr>
            <w:r>
              <w:rPr>
                <w:rStyle w:val="row-content-rich-text"/>
              </w:rPr>
              <w:t xml:space="preserve">In 2017–18, only one organisation provided data to the national collection about capital expenditure. Care is advised when comparing capital expenditure with that of previous years.</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NT only contributes funds to occupied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both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to previous years.</w:t>
            </w:r>
          </w:p>
          <w:p>
            <w:pPr>
              <w:pStyle w:val="ListParagraph"/>
              <w:numPr>
                <w:ilvl w:val="0"/>
                <w:numId w:val="9"/>
              </w:numPr>
            </w:pPr>
            <w:r>
              <w:rPr>
                <w:rStyle w:val="row-content-rich-text"/>
              </w:rPr>
              <w:t xml:space="preserve">Information on additional bedrooms required for a household was not available for the 2014–15 collection period.</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have provided more complete data in 2015–16 and in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 </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 The total number of occupied permanent dwellings managed by funded organisations increased between 2014–15 and 2015–16 because the 2015–16 data includes dwellings managed by the not-for-profit sector (collected via ICHO data collection tools).</w:t>
            </w:r>
          </w:p>
          <w:p>
            <w:pPr>
              <w:pStyle w:val="ListParagraph"/>
              <w:numPr>
                <w:ilvl w:val="0"/>
                <w:numId w:val="11"/>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1"/>
              </w:numPr>
            </w:pPr>
            <w:r>
              <w:rPr>
                <w:rStyle w:val="row-content-rich-text"/>
              </w:rPr>
              <w:t xml:space="preserve">The increase in net recurrent costs in 2016–17 is due to the inclusion of expenditure on maintenance that was not reported in previous years.</w:t>
            </w:r>
          </w:p>
          <w:p>
            <w:pPr>
              <w:pStyle w:val="ListParagraph"/>
              <w:numPr>
                <w:ilvl w:val="0"/>
                <w:numId w:val="11"/>
              </w:numPr>
            </w:pPr>
            <w:r>
              <w:rPr>
                <w:rStyle w:val="row-content-rich-text"/>
              </w:rPr>
              <w:t xml:space="preserve">In 2016–17, rent charged and collected data were not available for approximately 9 ICHOs.</w:t>
            </w:r>
          </w:p>
          <w:p>
            <w:pPr>
              <w:pStyle w:val="ListParagraph"/>
              <w:numPr>
                <w:ilvl w:val="0"/>
                <w:numId w:val="11"/>
              </w:numPr>
            </w:pPr>
            <w:r>
              <w:rPr>
                <w:rStyle w:val="row-content-rich-text"/>
              </w:rPr>
              <w:t xml:space="preserve">ICHOs provided more complete data in 2017–18 than in previous years which has contributed to an increase in rent charged to (and collected from) tenants.</w:t>
            </w:r>
          </w:p>
          <w:p>
            <w:pPr>
              <w:pStyle w:val="ListParagraph"/>
              <w:numPr>
                <w:ilvl w:val="0"/>
                <w:numId w:val="11"/>
              </w:numPr>
            </w:pPr>
            <w:r>
              <w:rPr>
                <w:rStyle w:val="row-content-rich-text"/>
              </w:rPr>
              <w:t xml:space="preserve">The increase in net recurrent expenses is due to the inclusion of apportioned indirect costs for 2017–18. Indirect costs have not been included in previous years.</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3"/>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4"/>
              </w:numPr>
            </w:pPr>
            <w:r>
              <w:rPr>
                <w:rStyle w:val="row-content-rich-text"/>
              </w:rPr>
              <w:t xml:space="preserve">A new arrears policy was implemented in 2012–13. This has contributed to improvements in data quality for rent since 2013–14.</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4"/>
              </w:numPr>
            </w:pPr>
            <w:r>
              <w:rPr>
                <w:rStyle w:val="row-content-rich-text"/>
              </w:rPr>
              <w:t xml:space="preserve">Due to data quality issues, data for several household indicators are not comparable between the two collection periods of 2013–14 and 2014–15.</w:t>
            </w:r>
          </w:p>
          <w:p>
            <w:pPr>
              <w:pStyle w:val="ListParagraph"/>
              <w:numPr>
                <w:ilvl w:val="0"/>
                <w:numId w:val="14"/>
              </w:numPr>
            </w:pPr>
            <w:r>
              <w:rPr>
                <w:rStyle w:val="row-content-rich-text"/>
              </w:rPr>
              <w:t xml:space="preserve">Improved data submissions from ICHOs in 2016–17 resulted in increases in rent collected and charged from tenants, compared with 2015–16.</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5"/>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b464cef234773">
              <w:r>
                <w:rPr>
                  <w:rStyle w:val="Hyperlink"/>
                </w:rPr>
                <w:t xml:space="preserve">Indigenous Community Housing Collection, 2016–17; Quality Statement</w:t>
              </w:r>
            </w:hyperlink>
          </w:p>
          <w:p>
            <w:pPr>
              <w:spacing w:before="0" w:after="0"/>
            </w:pPr>
            <w:r>
              <w:rPr>
                <w:rStyle w:val="row-content"/>
                <w:color w:val="244061"/>
              </w:rPr>
              <w:t xml:space="preserve">       </w:t>
            </w:r>
            <w:hyperlink w:history="true" r:id="R6f0ec5e695d645f9">
              <w:r>
                <w:rPr>
                  <w:rStyle w:val="Hyperlink"/>
                  <w:color w:val="244061"/>
                </w:rPr>
                <w:t xml:space="preserve">AIHW Data Quality Statements</w:t>
              </w:r>
            </w:hyperlink>
            <w:r>
              <w:rPr>
                <w:rStyle w:val="row-content"/>
                <w:color w:val="244061"/>
              </w:rPr>
              <w:t xml:space="preserve">, Superseded 03/07/2019</w:t>
            </w:r>
          </w:p>
          <w:p>
            <w:r>
              <w:br/>
            </w:r>
            <w:r>
              <w:rPr>
                <w:rStyle w:val="row-content"/>
              </w:rPr>
              <w:t xml:space="preserve">Has been superseded by </w:t>
            </w:r>
            <w:hyperlink w:history="true" r:id="Rb59cea0905484eff">
              <w:r>
                <w:rPr>
                  <w:rStyle w:val="Hyperlink"/>
                </w:rPr>
                <w:t xml:space="preserve">Indigenous Community Housing Collection, 2018-19; Quality Statement</w:t>
              </w:r>
            </w:hyperlink>
          </w:p>
          <w:p>
            <w:pPr>
              <w:spacing w:before="0" w:after="0"/>
            </w:pPr>
            <w:r>
              <w:rPr>
                <w:rStyle w:val="row-content"/>
                <w:color w:val="244061"/>
              </w:rPr>
              <w:t xml:space="preserve">       </w:t>
            </w:r>
            <w:hyperlink w:history="true" r:id="R2c68e635ac014dae">
              <w:r>
                <w:rPr>
                  <w:rStyle w:val="Hyperlink"/>
                  <w:color w:val="244061"/>
                </w:rPr>
                <w:t xml:space="preserve">AIHW Data Quality Statements</w:t>
              </w:r>
            </w:hyperlink>
            <w:r>
              <w:rPr>
                <w:rStyle w:val="row-content"/>
                <w:color w:val="244061"/>
              </w:rPr>
              <w:t xml:space="preserve">, Superseded 28/04/2021</w:t>
            </w:r>
          </w:p>
          <w:p>
            <w:r>
              <w:br/>
            </w:r>
          </w:p>
        </w:tc>
      </w:tr>
    </w:tbl>
    <w:p>
      <w:r>
        <w:br/>
      </w:r>
    </w:p>
    <w:sectPr>
      <w:footerReference xmlns:r="http://schemas.openxmlformats.org/officeDocument/2006/relationships" w:type="default" r:id="Reed1852aa081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156076b99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1852aa08147c6" /><Relationship Type="http://schemas.openxmlformats.org/officeDocument/2006/relationships/header" Target="/word/header1.xml" Id="R7d8f2e516600454e" /><Relationship Type="http://schemas.openxmlformats.org/officeDocument/2006/relationships/settings" Target="/word/settings.xml" Id="Rf62c7a7f222244dc" /><Relationship Type="http://schemas.openxmlformats.org/officeDocument/2006/relationships/styles" Target="/word/styles.xml" Id="R460f5b12e2254665" /><Relationship Type="http://schemas.openxmlformats.org/officeDocument/2006/relationships/hyperlink" Target="https://meteor.aihw.gov.au/RegistrationAuthority/5" TargetMode="External" Id="R53d42bf762254f8d" /><Relationship Type="http://schemas.openxmlformats.org/officeDocument/2006/relationships/numbering" Target="/word/numbering.xml" Id="Raa61ab616cbc4d55" /><Relationship Type="http://schemas.openxmlformats.org/officeDocument/2006/relationships/hyperlink" Target="https://www.legislation.gov.au/Series/C2004A03450" TargetMode="External" Id="R61230b44b34044b9" /><Relationship Type="http://schemas.openxmlformats.org/officeDocument/2006/relationships/hyperlink" Target="http://www.aihw.gov.au/aihw-board/" TargetMode="External" Id="R017f35ba82dd48ba" /><Relationship Type="http://schemas.openxmlformats.org/officeDocument/2006/relationships/hyperlink" Target="https://www.legislation.gov.au/Series/C2004A03712" TargetMode="External" Id="R537713781fe341f1" /><Relationship Type="http://schemas.openxmlformats.org/officeDocument/2006/relationships/hyperlink" Target="http://www.aihw.gov.au/" TargetMode="External" Id="R61c6f6aae142430d" /><Relationship Type="http://schemas.openxmlformats.org/officeDocument/2006/relationships/hyperlink" Target="https://www.aihw.gov.au/reports-data/health-welfare-services/housing-assistance/overview" TargetMode="External" Id="Rb0a7263b4be94935" /><Relationship Type="http://schemas.openxmlformats.org/officeDocument/2006/relationships/hyperlink" Target="https://www.aihw.gov.au/our-services/data-on-request" TargetMode="External" Id="R82953d5cc6ab41bb" /><Relationship Type="http://schemas.openxmlformats.org/officeDocument/2006/relationships/hyperlink" Target="mailto:info@aihw.gov.au" TargetMode="External" Id="R3e841317427e4dc2" /><Relationship Type="http://schemas.openxmlformats.org/officeDocument/2006/relationships/hyperlink" Target="https://meteor.aihw.gov.au/content/596369" TargetMode="External" Id="Rb180c10f5de7447d" /><Relationship Type="http://schemas.openxmlformats.org/officeDocument/2006/relationships/hyperlink" Target="https://meteor.aihw.gov.au/content/677789" TargetMode="External" Id="Rc61b464cef234773" /><Relationship Type="http://schemas.openxmlformats.org/officeDocument/2006/relationships/hyperlink" Target="https://meteor.aihw.gov.au/RegistrationAuthority/5" TargetMode="External" Id="R6f0ec5e695d645f9" /><Relationship Type="http://schemas.openxmlformats.org/officeDocument/2006/relationships/hyperlink" Target="https://meteor.aihw.gov.au/content/721480" TargetMode="External" Id="Rb59cea0905484eff" /><Relationship Type="http://schemas.openxmlformats.org/officeDocument/2006/relationships/hyperlink" Target="https://meteor.aihw.gov.au/RegistrationAuthority/5" TargetMode="External" Id="R2c68e635ac014dae" /></Relationships>
</file>

<file path=word/_rels/header1.xml.rels>&#65279;<?xml version="1.0" encoding="utf-8"?><Relationships xmlns="http://schemas.openxmlformats.org/package/2006/relationships"><Relationship Type="http://schemas.openxmlformats.org/officeDocument/2006/relationships/image" Target="/media/image.png" Id="Ree1156076b994082" /></Relationships>
</file>