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46e356ba04460b" /></Relationships>
</file>

<file path=word/document.xml><?xml version="1.0" encoding="utf-8"?>
<w:document xmlns:r="http://schemas.openxmlformats.org/officeDocument/2006/relationships" xmlns:w="http://schemas.openxmlformats.org/wordprocessingml/2006/main">
  <w:body>
    <w:p>
      <w:pPr>
        <w:pStyle w:val="Title"/>
      </w:pPr>
      <w:r>
        <w:t>Service type outlet—paid staff hours worked,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outlet—paid staff hours worked,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staff hours worked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a3f54c8faa464c">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d02a2f6a2f424b">
              <w:r>
                <w:rPr>
                  <w:rStyle w:val="Hyperlink"/>
                </w:rPr>
                <w:t xml:space="preserve">Service type outlet—paid staff 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e0ae32aa254181">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asking for actual staff hours worked, not the rostered hours or full-time equivalent staff.</w:t>
            </w:r>
          </w:p>
          <w:p>
            <w:pPr/>
            <w:r>
              <w:rPr>
                <w:rStyle w:val="row-content-rich-text"/>
              </w:rPr>
              <w:t xml:space="preserve">Contract staff employed through an agency are included where the contract is for the supply of labour (e.g. nursing) rather than of products (e.g. photocopier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0656d4d4bf49ed">
              <w:r>
                <w:rPr>
                  <w:rStyle w:val="Hyperlink"/>
                </w:rPr>
                <w:t xml:space="preserve">Service type outlet—hours worked (paid staff), total hours NNNNN</w:t>
              </w:r>
            </w:hyperlink>
          </w:p>
          <w:p>
            <w:pPr>
              <w:spacing w:before="0" w:after="0"/>
            </w:pPr>
            <w:r>
              <w:rPr>
                <w:rStyle w:val="row-content"/>
                <w:color w:val="244061"/>
              </w:rPr>
              <w:t xml:space="preserve">       </w:t>
            </w:r>
            <w:hyperlink w:history="true" r:id="R69a111ebe5ce48a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aceceea320e4371">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991811dc1c41af">
              <w:r>
                <w:rPr>
                  <w:rStyle w:val="Hyperlink"/>
                </w:rPr>
                <w:t xml:space="preserve">Disability Services NMDS 2017–18</w:t>
              </w:r>
            </w:hyperlink>
          </w:p>
          <w:p>
            <w:pPr>
              <w:spacing w:before="0" w:after="0"/>
            </w:pPr>
            <w:r>
              <w:rPr>
                <w:rStyle w:val="row-content"/>
                <w:color w:val="244061"/>
              </w:rPr>
              <w:t xml:space="preserve">       </w:t>
            </w:r>
            <w:hyperlink w:history="true" r:id="R3ad867b518d9459c">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2c26cb5f9bee4905">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0c56127421c04d4b">
              <w:r>
                <w:rPr>
                  <w:rStyle w:val="Hyperlink"/>
                  <w:b/>
                </w:rPr>
                <w:t xml:space="preserve">service users</w:t>
              </w:r>
            </w:hyperlink>
            <w:r>
              <w:rPr>
                <w:rStyle w:val="row-content"/>
              </w:rPr>
              <w:t xml:space="preserve">, and indirectly to service users (for example,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DS NMDS:</w:t>
            </w:r>
          </w:p>
          <w:p>
            <w:pPr>
              <w:pStyle w:val="ListParagraph"/>
              <w:numPr>
                <w:ilvl w:val="0"/>
                <w:numId w:val="2"/>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3"/>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element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d40bb59bf0d444b">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w:t>
            </w:r>
          </w:p>
          <w:p>
            <w:pPr>
              <w:pStyle w:val="ListParagraph"/>
              <w:numPr>
                <w:ilvl w:val="0"/>
                <w:numId w:val="4"/>
              </w:numPr>
            </w:pPr>
            <w:r>
              <w:rPr>
                <w:rStyle w:val="row-content"/>
              </w:rPr>
              <w:t xml:space="preserve">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This item is asking for hours worked by staff on behalf of this service type outlet both directly delivered to service users and on behalf of this service type outlet more generally (that is, indirect hours such as related committee meetings).</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elements 17e–f ‘</w:t>
            </w:r>
            <w:hyperlink w:history="true" r:id="Rc9ed9de082f447ac">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elements 17e–f ‘</w:t>
            </w:r>
            <w:hyperlink w:history="true" r:id="R66ff9e40a0214eef">
              <w:r>
                <w:rPr>
                  <w:rStyle w:val="Hyperlink"/>
                </w:rPr>
                <w:t xml:space="preserve">hours received</w:t>
              </w:r>
            </w:hyperlink>
            <w:r>
              <w:rPr>
                <w:rStyle w:val="row-content"/>
              </w:rPr>
              <w:t xml:space="preserve">’ per service user, as similar rules apply to the calculation of hours received by service users.</w:t>
            </w:r>
          </w:p>
          <w:p>
            <w:r>
              <w:br/>
            </w:r>
            <w:r>
              <w:br/>
            </w:r>
            <w:hyperlink w:history="true" r:id="R7d71c5dd8a274ce1">
              <w:r>
                <w:rPr>
                  <w:rStyle w:val="Hyperlink"/>
                </w:rPr>
                <w:t xml:space="preserve">Disability Services NMDS 2018–19</w:t>
              </w:r>
            </w:hyperlink>
          </w:p>
          <w:p>
            <w:pPr>
              <w:spacing w:before="0" w:after="0"/>
            </w:pPr>
            <w:r>
              <w:rPr>
                <w:rStyle w:val="row-content"/>
                <w:color w:val="244061"/>
              </w:rPr>
              <w:t xml:space="preserve">       </w:t>
            </w:r>
            <w:hyperlink w:history="true" r:id="R65dd4edd618f47b6">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hours worked by paid staff refers to the actual total hours worked by all paid staff for a </w:t>
            </w:r>
            <w:hyperlink w:tooltip="A service type outlet is the unit of the funded agency that delivers a particular National Disability Agreement (NDA) service type at or from a discrete location." w:history="true" r:id="R1a4f2c6462aa45da">
              <w:r>
                <w:rPr>
                  <w:rStyle w:val="Hyperlink"/>
                  <w:b/>
                </w:rPr>
                <w:t xml:space="preserve">service type outlet</w:t>
              </w:r>
            </w:hyperlink>
            <w:r>
              <w:rPr>
                <w:rStyle w:val="row-content"/>
              </w:rPr>
              <w:t xml:space="preserve">, not full-time equivalents or rostered weekly hours. It includes hours worked by paid staff on behalf of the service type outlet both directly delivered to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ab037d2f50de4620">
              <w:r>
                <w:rPr>
                  <w:rStyle w:val="Hyperlink"/>
                  <w:b/>
                </w:rPr>
                <w:t xml:space="preserve">service users</w:t>
              </w:r>
            </w:hyperlink>
            <w:r>
              <w:rPr>
                <w:rStyle w:val="row-content"/>
              </w:rPr>
              <w:t xml:space="preserve">, and indirectly to service users (for example, indirect hours such as related committee meetings).</w:t>
            </w:r>
          </w:p>
          <w:p>
            <w:r>
              <w:rPr>
                <w:rStyle w:val="row-content"/>
              </w:rPr>
              <w:t xml:space="preserve">Paid staff are defined as those who are employed on a permanent, part-time or casual basis under an employment or other contract (including contract staff).</w:t>
            </w:r>
          </w:p>
          <w:p>
            <w:r>
              <w:rPr>
                <w:rStyle w:val="row-content"/>
              </w:rPr>
              <w:t xml:space="preserve">This data element is collected twice within the DS NMDS:</w:t>
            </w:r>
          </w:p>
          <w:p>
            <w:pPr>
              <w:pStyle w:val="ListParagraph"/>
              <w:numPr>
                <w:ilvl w:val="0"/>
                <w:numId w:val="7"/>
              </w:numPr>
            </w:pPr>
            <w:r>
              <w:rPr>
                <w:rStyle w:val="row-content"/>
              </w:rPr>
              <w:t xml:space="preserve">the actual total hours worked by all 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7"/>
              </w:numPr>
            </w:pPr>
            <w:r>
              <w:rPr>
                <w:rStyle w:val="row-content"/>
              </w:rPr>
              <w:t xml:space="preserve">actual total hours worked by all 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staff hours:</w:t>
            </w:r>
          </w:p>
          <w:p>
            <w:pPr>
              <w:pStyle w:val="ListParagraph"/>
              <w:numPr>
                <w:ilvl w:val="0"/>
                <w:numId w:val="8"/>
              </w:numPr>
            </w:pPr>
            <w:r>
              <w:rPr>
                <w:rStyle w:val="row-content"/>
              </w:rPr>
              <w:t xml:space="preserve">Includes:</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worked while staff receive payment for sleepover duties</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8"/>
              </w:numPr>
            </w:pPr>
            <w:r>
              <w:rPr>
                <w:rStyle w:val="row-content"/>
              </w:rPr>
              <w:t xml:space="preserve">Excludes:</w:t>
            </w:r>
            <w:r>
              <w:br/>
            </w:r>
            <w:r>
              <w:rPr>
                <w:rStyle w:val="row-content"/>
              </w:rPr>
              <w:t xml:space="preserve">        • staff hours worked as unpaid work by usually paid or contract staff (should be included with unpaid staff hours)</w:t>
            </w:r>
            <w:r>
              <w:br/>
            </w:r>
            <w:r>
              <w:rPr>
                <w:rStyle w:val="row-content"/>
              </w:rPr>
              <w:t xml:space="preserve">        • staff hours for workers on leave (including public holidays, paid/unpaid sick leave, i.e. this data element relates to staff hours worked, not staff hours paid for)</w:t>
            </w:r>
            <w:r>
              <w:br/>
            </w:r>
            <w:r>
              <w:rPr>
                <w:rStyle w:val="row-content"/>
              </w:rPr>
              <w:t xml:space="preserve">        • staff hours normally worked in positions that are currently vacant</w:t>
            </w:r>
            <w:r>
              <w:br/>
            </w:r>
            <w:r>
              <w:rPr>
                <w:rStyle w:val="row-content"/>
              </w:rPr>
              <w:t xml:space="preserve">        •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fe67c8bebe094e53">
              <w:r>
                <w:rPr>
                  <w:rStyle w:val="Hyperlink"/>
                  <w:b/>
                </w:rPr>
                <w:t xml:space="preserve">funded agencies</w:t>
              </w:r>
            </w:hyperlink>
            <w:r>
              <w:rPr>
                <w:rStyle w:val="row-content"/>
              </w:rPr>
              <w:t xml:space="preserve"> 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9"/>
              </w:numPr>
            </w:pPr>
            <w:r>
              <w:rPr>
                <w:rStyle w:val="row-content"/>
              </w:rPr>
              <w:t xml:space="preserve">use fortnightly rosters as a starting point</w:t>
            </w:r>
          </w:p>
          <w:p>
            <w:pPr>
              <w:pStyle w:val="ListParagraph"/>
              <w:numPr>
                <w:ilvl w:val="0"/>
                <w:numId w:val="9"/>
              </w:numPr>
            </w:pPr>
            <w:r>
              <w:rPr>
                <w:rStyle w:val="row-content"/>
              </w:rPr>
              <w:t xml:space="preserve">apportion total staff hours across funded service types</w:t>
            </w:r>
          </w:p>
          <w:p>
            <w:pPr>
              <w:pStyle w:val="ListParagraph"/>
              <w:numPr>
                <w:ilvl w:val="0"/>
                <w:numId w:val="9"/>
              </w:numPr>
            </w:pPr>
            <w:r>
              <w:rPr>
                <w:rStyle w:val="row-content"/>
              </w:rPr>
              <w:t xml:space="preserve">divide this figure by two to get weekly staff hours for the week preceding the end of the reporting period.</w:t>
            </w:r>
          </w:p>
          <w:p>
            <w:r>
              <w:rPr>
                <w:rStyle w:val="row-content"/>
              </w:rPr>
              <w:t xml:space="preserve">This item is asking for hours worked by staff on behalf of this service type outlet both directly delivered to service users and on behalf of this service type outlet more generally (that is, indirect hours such as related committee meetings).</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10"/>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10"/>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10"/>
              </w:numPr>
            </w:pPr>
            <w:r>
              <w:rPr>
                <w:rStyle w:val="row-content"/>
              </w:rPr>
              <w:t xml:space="preserve">see also data elements 17e–f ‘</w:t>
            </w:r>
            <w:hyperlink w:history="true" r:id="Re28d2e093c964078">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11"/>
              </w:numPr>
            </w:pPr>
            <w:r>
              <w:rPr>
                <w:rStyle w:val="row-content"/>
              </w:rP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11"/>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11"/>
              </w:numPr>
            </w:pPr>
            <w:r>
              <w:rPr>
                <w:rStyle w:val="row-content"/>
              </w:rPr>
              <w:t xml:space="preserve">see also data elements 17e–f ‘</w:t>
            </w:r>
            <w:hyperlink w:history="true" r:id="Rb83a2f36b1ea4848">
              <w:r>
                <w:rPr>
                  <w:rStyle w:val="Hyperlink"/>
                </w:rPr>
                <w:t xml:space="preserve">hours received</w:t>
              </w:r>
            </w:hyperlink>
            <w:r>
              <w:rPr>
                <w:rStyle w:val="row-content"/>
              </w:rPr>
              <w:t xml:space="preserve">’ per service user, as similar rules apply to the calculation of hours received by service users.</w:t>
            </w:r>
          </w:p>
          <w:p>
            <w:r>
              <w:br/>
            </w:r>
            <w:r>
              <w:br/>
            </w:r>
          </w:p>
        </w:tc>
      </w:tr>
    </w:tbl>
    <w:p/>
    <w:tbl>
      <w:tblPr>
        <w:tblStyle w:val="TableGrid"/>
        <w:tblW w:w="0" w:type="auto"/>
      </w:tblPr>
    </w:tbl>
    <w:p>
      <w:r>
        <w:br/>
      </w:r>
    </w:p>
    <w:sectPr>
      <w:footerReference xmlns:r="http://schemas.openxmlformats.org/officeDocument/2006/relationships" w:type="default" r:id="R6fa63f657106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680399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a67c4d26346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63f65710649a6" /><Relationship Type="http://schemas.openxmlformats.org/officeDocument/2006/relationships/header" Target="/word/header1.xml" Id="R744e43bcb88144e7" /><Relationship Type="http://schemas.openxmlformats.org/officeDocument/2006/relationships/settings" Target="/word/settings.xml" Id="Rfcf0ff3e0066410e" /><Relationship Type="http://schemas.openxmlformats.org/officeDocument/2006/relationships/styles" Target="/word/styles.xml" Id="Ra947c759884d4d12" /><Relationship Type="http://schemas.openxmlformats.org/officeDocument/2006/relationships/hyperlink" Target="https://meteor.aihw.gov.au/RegistrationAuthority/16" TargetMode="External" Id="Rf3a3f54c8faa464c" /><Relationship Type="http://schemas.openxmlformats.org/officeDocument/2006/relationships/hyperlink" Target="https://meteor.aihw.gov.au/content/680396" TargetMode="External" Id="R6bd02a2f6a2f424b" /><Relationship Type="http://schemas.openxmlformats.org/officeDocument/2006/relationships/hyperlink" Target="https://meteor.aihw.gov.au/content/270747" TargetMode="External" Id="R2fe0ae32aa254181" /><Relationship Type="http://schemas.openxmlformats.org/officeDocument/2006/relationships/hyperlink" Target="https://meteor.aihw.gov.au/content/497569" TargetMode="External" Id="Rc40656d4d4bf49ed" /><Relationship Type="http://schemas.openxmlformats.org/officeDocument/2006/relationships/hyperlink" Target="https://meteor.aihw.gov.au/RegistrationAuthority/1" TargetMode="External" Id="R69a111ebe5ce48a8" /><Relationship Type="http://schemas.openxmlformats.org/officeDocument/2006/relationships/hyperlink" Target="https://meteor.aihw.gov.au/RegistrationAuthority/16" TargetMode="External" Id="R9aceceea320e4371" /><Relationship Type="http://schemas.openxmlformats.org/officeDocument/2006/relationships/hyperlink" Target="https://meteor.aihw.gov.au/content/664954" TargetMode="External" Id="R42991811dc1c41af" /><Relationship Type="http://schemas.openxmlformats.org/officeDocument/2006/relationships/hyperlink" Target="https://meteor.aihw.gov.au/RegistrationAuthority/16" TargetMode="External" Id="R3ad867b518d9459c" /><Relationship Type="http://schemas.openxmlformats.org/officeDocument/2006/relationships/hyperlink" Target="https://meteor.aihw.gov.au/content/501973" TargetMode="External" Id="R2c26cb5f9bee4905" /><Relationship Type="http://schemas.openxmlformats.org/officeDocument/2006/relationships/hyperlink" Target="https://meteor.aihw.gov.au/content/386548" TargetMode="External" Id="R0c56127421c04d4b" /><Relationship Type="http://schemas.openxmlformats.org/officeDocument/2006/relationships/numbering" Target="/word/numbering.xml" Id="Rcfbfd33c191b4450" /><Relationship Type="http://schemas.openxmlformats.org/officeDocument/2006/relationships/hyperlink" Target="https://meteor.aihw.gov.au/content/386548" TargetMode="External" Id="Rad40bb59bf0d444b" /><Relationship Type="http://schemas.openxmlformats.org/officeDocument/2006/relationships/hyperlink" Target="https://meteor.aihw.gov.au/content/323093" TargetMode="External" Id="Rc9ed9de082f447ac" /><Relationship Type="http://schemas.openxmlformats.org/officeDocument/2006/relationships/hyperlink" Target="https://meteor.aihw.gov.au/content/323093" TargetMode="External" Id="R66ff9e40a0214eef" /><Relationship Type="http://schemas.openxmlformats.org/officeDocument/2006/relationships/hyperlink" Target="https://meteor.aihw.gov.au/content/698074" TargetMode="External" Id="R7d71c5dd8a274ce1" /><Relationship Type="http://schemas.openxmlformats.org/officeDocument/2006/relationships/hyperlink" Target="https://meteor.aihw.gov.au/RegistrationAuthority/16" TargetMode="External" Id="R65dd4edd618f47b6" /><Relationship Type="http://schemas.openxmlformats.org/officeDocument/2006/relationships/hyperlink" Target="https://meteor.aihw.gov.au/content/501973" TargetMode="External" Id="R1a4f2c6462aa45da" /><Relationship Type="http://schemas.openxmlformats.org/officeDocument/2006/relationships/hyperlink" Target="https://meteor.aihw.gov.au/content/386548" TargetMode="External" Id="Rab037d2f50de4620" /><Relationship Type="http://schemas.openxmlformats.org/officeDocument/2006/relationships/hyperlink" Target="https://meteor.aihw.gov.au/content/386548" TargetMode="External" Id="Rfe67c8bebe094e53" /><Relationship Type="http://schemas.openxmlformats.org/officeDocument/2006/relationships/hyperlink" Target="https://meteor.aihw.gov.au/content/323093" TargetMode="External" Id="Re28d2e093c964078" /><Relationship Type="http://schemas.openxmlformats.org/officeDocument/2006/relationships/hyperlink" Target="https://meteor.aihw.gov.au/content/323093" TargetMode="External" Id="Rb83a2f36b1ea4848" /></Relationships>
</file>

<file path=word/_rels/header1.xml.rels>&#65279;<?xml version="1.0" encoding="utf-8"?><Relationships xmlns="http://schemas.openxmlformats.org/package/2006/relationships"><Relationship Type="http://schemas.openxmlformats.org/officeDocument/2006/relationships/image" Target="/media/image.png" Id="Rba2a67c4d2634629" /></Relationships>
</file>