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31c2b553934292"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c6fb696084e15">
              <w:r>
                <w:rPr>
                  <w:rStyle w:val="Hyperlink"/>
                  <w:color w:val="244061"/>
                </w:rPr>
                <w:t xml:space="preserve">AIHW Data Quality Statements</w:t>
              </w:r>
            </w:hyperlink>
            <w:r>
              <w:rPr>
                <w:rStyle w:val="row-content"/>
                <w:color w:val="244061"/>
              </w:rPr>
              <w:t xml:space="preserve">, Superseded 28/03/2019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(South Australia and Tasmania).</w:t>
            </w:r>
          </w:p>
          <w:p>
            <w:pPr>
              <w:spacing w:after="160"/>
            </w:pPr>
            <w:r>
              <w:rPr>
                <w:rStyle w:val="row-content-rich-text"/>
              </w:rPr>
              <w:t xml:space="preserve">Data are provided for PRA received during the 2016–17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dfaac278232249c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3163fdb4c5dd4ea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state and territory, to analyse these data sets and disseminate information and statistics.</w:t>
            </w:r>
          </w:p>
          <w:p>
            <w:pPr>
              <w:spacing w:after="160"/>
            </w:pPr>
            <w:r>
              <w:rPr>
                <w:rStyle w:val="row-content-rich-text"/>
              </w:rPr>
              <w:t xml:space="preserve">The </w:t>
            </w:r>
            <w:hyperlink w:history="true" r:id="R49f755942716438b">
              <w:r>
                <w:rPr>
                  <w:rStyle w:val="Hyperlink"/>
                  <w:i/>
                </w:rPr>
                <w:t xml:space="preserve">Australian Institute of Health and Welfare Act 1987</w:t>
              </w:r>
            </w:hyperlink>
            <w:r>
              <w:rPr>
                <w:rStyle w:val="row-content-rich-text"/>
              </w:rPr>
              <w:t xml:space="preserve">, in conjunction with compliance to the </w:t>
            </w:r>
            <w:hyperlink w:history="true" r:id="R97aacc5ed9f34620">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8c967e30624437b">
              <w:r>
                <w:rPr>
                  <w:rStyle w:val="Hyperlink"/>
                </w:rPr>
                <w:t xml:space="preserve">www.aihw.gov.au</w:t>
              </w:r>
            </w:hyperlink>
          </w:p>
          <w:p>
            <w:pPr/>
            <w:r>
              <w:rPr>
                <w:rStyle w:val="row-content-rich-text"/>
              </w:rPr>
              <w:t xml:space="preserve">The AIHW receives, compiles, edits and verifies the data in collaboration with state and territory housing authorities.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1eabb840cd464c1c">
              <w:r>
                <w:rPr>
                  <w:rStyle w:val="Hyperlink"/>
                  <w:i/>
                </w:rPr>
                <w:t xml:space="preserve">Housing assistance in Australia </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66c06c7d5f4342db">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2100fd6e16b2414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9ef33e8c5a4e45cc">
              <w:r>
                <w:rPr>
                  <w:rStyle w:val="Hyperlink"/>
                  <w:i/>
                </w:rPr>
                <w:t xml:space="preserve">Private rent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2016–17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spacing w:after="160"/>
            </w:pPr>
            <w:r>
              <w:rPr>
                <w:rStyle w:val="row-content-rich-text"/>
                <w:b/>
              </w:rPr>
              <w:t xml:space="preserve">South Australia</w:t>
            </w:r>
          </w:p>
          <w:p>
            <w:pPr>
              <w:pStyle w:val="ListParagraph"/>
              <w:numPr>
                <w:ilvl w:val="0"/>
                <w:numId w:val="7"/>
              </w:numPr>
            </w:pPr>
            <w:r>
              <w:rPr>
                <w:rStyle w:val="row-content-rich-text"/>
              </w:rPr>
              <w:t xml:space="preserve"> </w:t>
            </w:r>
          </w:p>
          <w:p>
            <w:pPr>
              <w:spacing w:after="160"/>
            </w:pPr>
            <w:r>
              <w:rPr>
                <w:rStyle w:val="row-content-rich-text"/>
                <w:b/>
              </w:rPr>
              <w:t xml:space="preserve">Australian Capital Territory</w:t>
            </w:r>
          </w:p>
          <w:p>
            <w:pPr>
              <w:pStyle w:val="ListParagraph"/>
              <w:numPr>
                <w:ilvl w:val="0"/>
                <w:numId w:val="8"/>
              </w:numPr>
            </w:pPr>
            <w:r>
              <w:rPr>
                <w:rStyle w:val="row-content-rich-text"/>
              </w:rPr>
              <w:t xml:space="preserve">There has been improved data quality in the identification of Indigenous data in 2016–17.</w:t>
            </w:r>
          </w:p>
          <w:p>
            <w:pPr>
              <w:spacing w:after="160"/>
            </w:pPr>
            <w:r>
              <w:rPr>
                <w:rStyle w:val="row-content-rich-text"/>
                <w:b/>
              </w:rPr>
              <w:t xml:space="preserve">Northern Territory</w:t>
            </w:r>
          </w:p>
          <w:p>
            <w:pPr>
              <w:pStyle w:val="ListParagraph"/>
              <w:numPr>
                <w:ilvl w:val="0"/>
                <w:numId w:val="9"/>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0"/>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10"/>
              </w:numPr>
            </w:pPr>
            <w:r>
              <w:rPr>
                <w:rStyle w:val="row-content-rich-text"/>
              </w:rPr>
              <w:t xml:space="preserve">Victoria and Queensland—at 30 June.</w:t>
            </w:r>
          </w:p>
          <w:p>
            <w:pPr>
              <w:spacing w:after="160"/>
            </w:pPr>
            <w:r>
              <w:rPr>
                <w:rStyle w:val="row-content-rich-text"/>
              </w:rPr>
              <w:t xml:space="preserve"> </w:t>
            </w:r>
          </w:p>
          <w:p>
            <w:pPr>
              <w:spacing w:after="160"/>
            </w:pPr>
            <w:r>
              <w:rPr>
                <w:rStyle w:val="row-content-rich-text"/>
              </w:rPr>
              <w:t xml:space="preserve">Weekly rent is at time of application with the following exceptions:</w:t>
            </w:r>
          </w:p>
          <w:p>
            <w:pPr>
              <w:pStyle w:val="ListParagraph"/>
              <w:numPr>
                <w:ilvl w:val="0"/>
                <w:numId w:val="11"/>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1"/>
              </w:numPr>
            </w:pPr>
            <w:r>
              <w:rPr>
                <w:rStyle w:val="row-content-rich-text"/>
              </w:rPr>
              <w:t xml:space="preserve">Queensland—at 30 June.</w:t>
            </w:r>
          </w:p>
          <w:p>
            <w:pPr>
              <w:pStyle w:val="ListParagraph"/>
              <w:numPr>
                <w:ilvl w:val="0"/>
                <w:numId w:val="11"/>
              </w:numPr>
            </w:pPr>
            <w:r>
              <w:rPr>
                <w:rStyle w:val="row-content-rich-text"/>
              </w:rPr>
              <w:t xml:space="preserve"> </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2"/>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2"/>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2"/>
              </w:numPr>
            </w:pPr>
            <w:r>
              <w:rPr>
                <w:rStyle w:val="row-content-rich-text"/>
              </w:rPr>
              <w:t xml:space="preserve"> </w:t>
            </w:r>
          </w:p>
          <w:p>
            <w:pPr>
              <w:spacing w:after="160"/>
            </w:pPr>
            <w:r>
              <w:rPr>
                <w:rStyle w:val="row-content-rich-text"/>
                <w:b/>
              </w:rPr>
              <w:t xml:space="preserve">Victoria</w:t>
            </w:r>
          </w:p>
          <w:p>
            <w:pPr>
              <w:pStyle w:val="ListParagraph"/>
              <w:numPr>
                <w:ilvl w:val="0"/>
                <w:numId w:val="13"/>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3"/>
              </w:numPr>
            </w:pPr>
            <w:r>
              <w:rPr>
                <w:rStyle w:val="row-content-rich-text"/>
              </w:rPr>
              <w:t xml:space="preserve"> </w:t>
            </w:r>
          </w:p>
          <w:p>
            <w:pPr>
              <w:spacing w:after="160"/>
            </w:pPr>
            <w:r>
              <w:rPr>
                <w:rStyle w:val="row-content-rich-text"/>
                <w:b/>
              </w:rPr>
              <w:t xml:space="preserve">Queensland</w:t>
            </w:r>
          </w:p>
          <w:p>
            <w:pPr>
              <w:pStyle w:val="ListParagraph"/>
              <w:numPr>
                <w:ilvl w:val="0"/>
                <w:numId w:val="14"/>
              </w:numPr>
            </w:pPr>
            <w:r>
              <w:rPr>
                <w:rStyle w:val="row-content-rich-text"/>
              </w:rPr>
              <w:t xml:space="preserve">The increase in the number of instances of assistance provided to households with a principal household income source of other allowances for students and the unemployed may be the result of more accurate recording of income types.</w:t>
            </w:r>
          </w:p>
          <w:p>
            <w:pPr>
              <w:pStyle w:val="ListParagraph"/>
              <w:numPr>
                <w:ilvl w:val="0"/>
                <w:numId w:val="14"/>
              </w:numPr>
            </w:pPr>
            <w:r>
              <w:rPr>
                <w:rStyle w:val="row-content-rich-text"/>
              </w:rPr>
              <w:t xml:space="preserve">The reduction in the number of households with income source as ‘other’ is likely to be due to improved recording of income types.</w:t>
            </w:r>
          </w:p>
          <w:p>
            <w:pPr>
              <w:spacing w:after="160"/>
            </w:pPr>
            <w:r>
              <w:rPr>
                <w:rStyle w:val="row-content-rich-text"/>
                <w:b/>
              </w:rPr>
              <w:t xml:space="preserve">Western Australia</w:t>
            </w:r>
          </w:p>
          <w:p>
            <w:pPr>
              <w:pStyle w:val="ListParagraph"/>
              <w:numPr>
                <w:ilvl w:val="0"/>
                <w:numId w:val="15"/>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5"/>
              </w:numPr>
            </w:pPr>
            <w:r>
              <w:rPr>
                <w:rStyle w:val="row-content-rich-text"/>
              </w:rPr>
              <w:t xml:space="preserve"> </w:t>
            </w:r>
          </w:p>
          <w:p>
            <w:pPr>
              <w:pStyle w:val="ListParagraph"/>
              <w:numPr>
                <w:ilvl w:val="0"/>
                <w:numId w:val="15"/>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pStyle w:val="ListParagraph"/>
              <w:numPr>
                <w:ilvl w:val="0"/>
                <w:numId w:val="15"/>
              </w:numPr>
            </w:pPr>
            <w:r>
              <w:rPr>
                <w:rStyle w:val="row-content-rich-text"/>
              </w:rPr>
              <w:t xml:space="preserve">The number of households that did not experience rental stress increased in 2014–15 due to changes in market rent. Increased property vacancies resulted in a reduction of market rents. This continued in 2015–16 as Western Australia still has high vacancy rates and resulting lower market rents than in 2013–14.</w:t>
            </w:r>
          </w:p>
          <w:p>
            <w:pPr>
              <w:spacing w:after="160"/>
            </w:pPr>
            <w:r>
              <w:rPr>
                <w:rStyle w:val="row-content-rich-text"/>
                <w:b/>
              </w:rPr>
              <w:t xml:space="preserve">South Australia</w:t>
            </w:r>
          </w:p>
          <w:p>
            <w:pPr>
              <w:pStyle w:val="ListParagraph"/>
              <w:numPr>
                <w:ilvl w:val="0"/>
                <w:numId w:val="16"/>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 </w:t>
            </w:r>
          </w:p>
          <w:p>
            <w:pPr>
              <w:pStyle w:val="ListParagraph"/>
              <w:numPr>
                <w:ilvl w:val="0"/>
                <w:numId w:val="16"/>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For the 2014–15 reporting period, gross income details are not known for all households. Household income is assessable income only. Caution should be exercised when interpreting data for households experiencing housing stress.</w:t>
            </w:r>
          </w:p>
          <w:p>
            <w:pPr>
              <w:pStyle w:val="ListParagraph"/>
              <w:numPr>
                <w:ilvl w:val="0"/>
                <w:numId w:val="17"/>
              </w:numPr>
            </w:pPr>
            <w:r>
              <w:rPr>
                <w:rStyle w:val="row-content-rich-text"/>
              </w:rPr>
              <w:t xml:space="preserve">Historically, households with an income of ‘wages’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Therefore, data for income type for 2014–15 and 2013–14 reference periods are not comparable with the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e2eb25a66a4fc7">
              <w:r>
                <w:rPr>
                  <w:rStyle w:val="Hyperlink"/>
                </w:rPr>
                <w:t xml:space="preserve">Private Rent Assistance Collection, 2015-16; Quality Statement</w:t>
              </w:r>
            </w:hyperlink>
          </w:p>
          <w:p>
            <w:pPr>
              <w:spacing w:before="0" w:after="0"/>
            </w:pPr>
            <w:r>
              <w:rPr>
                <w:rStyle w:val="row-content"/>
                <w:color w:val="244061"/>
              </w:rPr>
              <w:t xml:space="preserve">       </w:t>
            </w:r>
            <w:hyperlink w:history="true" r:id="R604026f2d94f45ec">
              <w:r>
                <w:rPr>
                  <w:rStyle w:val="Hyperlink"/>
                  <w:color w:val="244061"/>
                </w:rPr>
                <w:t xml:space="preserve">AIHW Data Quality Statements</w:t>
              </w:r>
            </w:hyperlink>
            <w:r>
              <w:rPr>
                <w:rStyle w:val="row-content"/>
                <w:color w:val="244061"/>
              </w:rPr>
              <w:t xml:space="preserve">, Superseded 06/06/2018</w:t>
            </w:r>
          </w:p>
          <w:p>
            <w:r>
              <w:br/>
            </w:r>
            <w:r>
              <w:rPr>
                <w:rStyle w:val="row-content"/>
              </w:rPr>
              <w:t xml:space="preserve">Has been superseded by </w:t>
            </w:r>
            <w:hyperlink w:history="true" r:id="Re185892787bb46cf">
              <w:r>
                <w:rPr>
                  <w:rStyle w:val="Hyperlink"/>
                </w:rPr>
                <w:t xml:space="preserve">Private Rent Assistance Collection, 2017-18; Quality Statement</w:t>
              </w:r>
            </w:hyperlink>
          </w:p>
          <w:p>
            <w:pPr>
              <w:spacing w:before="0" w:after="0"/>
            </w:pPr>
            <w:r>
              <w:rPr>
                <w:rStyle w:val="row-content"/>
                <w:color w:val="244061"/>
              </w:rPr>
              <w:t xml:space="preserve">       </w:t>
            </w:r>
            <w:hyperlink w:history="true" r:id="Rd4338c577b3243cf">
              <w:r>
                <w:rPr>
                  <w:rStyle w:val="Hyperlink"/>
                  <w:color w:val="244061"/>
                </w:rPr>
                <w:t xml:space="preserve">AIHW Data Quality Statements</w:t>
              </w:r>
            </w:hyperlink>
            <w:r>
              <w:rPr>
                <w:rStyle w:val="row-content"/>
                <w:color w:val="244061"/>
              </w:rPr>
              <w:t xml:space="preserve">, Superseded 15/01/2020</w:t>
            </w:r>
          </w:p>
          <w:p>
            <w:r>
              <w:br/>
            </w:r>
          </w:p>
        </w:tc>
      </w:tr>
    </w:tbl>
    <w:p>
      <w:r>
        <w:br/>
      </w:r>
    </w:p>
    <w:sectPr>
      <w:footerReference xmlns:r="http://schemas.openxmlformats.org/officeDocument/2006/relationships" w:type="default" r:id="R0042648eecc7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ef39cb1f4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2648eecc7460d" /><Relationship Type="http://schemas.openxmlformats.org/officeDocument/2006/relationships/header" Target="/word/header1.xml" Id="R31a5923f63a942ff" /><Relationship Type="http://schemas.openxmlformats.org/officeDocument/2006/relationships/settings" Target="/word/settings.xml" Id="R4afe8670ae0547d7" /><Relationship Type="http://schemas.openxmlformats.org/officeDocument/2006/relationships/styles" Target="/word/styles.xml" Id="R7ef6b742d96b4666" /><Relationship Type="http://schemas.openxmlformats.org/officeDocument/2006/relationships/hyperlink" Target="https://meteor.aihw.gov.au/RegistrationAuthority/5" TargetMode="External" Id="Rec1c6fb696084e15" /><Relationship Type="http://schemas.openxmlformats.org/officeDocument/2006/relationships/numbering" Target="/word/numbering.xml" Id="R565d9cb6fe9948cd" /><Relationship Type="http://schemas.openxmlformats.org/officeDocument/2006/relationships/hyperlink" Target="https://www.legislation.gov.au/Series/C2004A03450" TargetMode="External" Id="Rdfaac278232249cd" /><Relationship Type="http://schemas.openxmlformats.org/officeDocument/2006/relationships/hyperlink" Target="http://www.aihw.gov.au/aihw-board/" TargetMode="External" Id="R3163fdb4c5dd4ea2" /><Relationship Type="http://schemas.openxmlformats.org/officeDocument/2006/relationships/hyperlink" Target="https://www.legislation.gov.au/Series/C2004A03450" TargetMode="External" Id="R49f755942716438b" /><Relationship Type="http://schemas.openxmlformats.org/officeDocument/2006/relationships/hyperlink" Target="https://www.legislation.gov.au/Details/C2011C00503" TargetMode="External" Id="R97aacc5ed9f34620" /><Relationship Type="http://schemas.openxmlformats.org/officeDocument/2006/relationships/hyperlink" Target="http://www.aihw.gov.au/" TargetMode="External" Id="R08c967e30624437b" /><Relationship Type="http://schemas.openxmlformats.org/officeDocument/2006/relationships/hyperlink" Target="https://www.aihw.gov.au/reports-statistics/health-welfare-services/housing-assistance/overview" TargetMode="External" Id="R1eabb840cd464c1c" /><Relationship Type="http://schemas.openxmlformats.org/officeDocument/2006/relationships/hyperlink" Target="http://www.aihw.gov.au/our-services/data-on-request" TargetMode="External" Id="R66c06c7d5f4342db" /><Relationship Type="http://schemas.openxmlformats.org/officeDocument/2006/relationships/hyperlink" Target="mailto:info@aihw.gov.au" TargetMode="External" Id="R2100fd6e16b24143" /><Relationship Type="http://schemas.openxmlformats.org/officeDocument/2006/relationships/hyperlink" Target="https://meteor.aihw.gov.au/content/596529" TargetMode="External" Id="R9ef33e8c5a4e45cc" /><Relationship Type="http://schemas.openxmlformats.org/officeDocument/2006/relationships/hyperlink" Target="https://meteor.aihw.gov.au/content/662639" TargetMode="External" Id="R7fe2eb25a66a4fc7" /><Relationship Type="http://schemas.openxmlformats.org/officeDocument/2006/relationships/hyperlink" Target="https://meteor.aihw.gov.au/RegistrationAuthority/5" TargetMode="External" Id="R604026f2d94f45ec" /><Relationship Type="http://schemas.openxmlformats.org/officeDocument/2006/relationships/hyperlink" Target="https://meteor.aihw.gov.au/content/690932" TargetMode="External" Id="Re185892787bb46cf" /><Relationship Type="http://schemas.openxmlformats.org/officeDocument/2006/relationships/hyperlink" Target="https://meteor.aihw.gov.au/RegistrationAuthority/5" TargetMode="External" Id="Rd4338c577b3243cf" /></Relationships>
</file>

<file path=word/_rels/header1.xml.rels>&#65279;<?xml version="1.0" encoding="utf-8"?><Relationships xmlns="http://schemas.openxmlformats.org/package/2006/relationships"><Relationship Type="http://schemas.openxmlformats.org/officeDocument/2006/relationships/image" Target="/media/image.png" Id="R4b6ef39cb1f443cc" /></Relationships>
</file>