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badea96bfe477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7b9471cb34b5432e">
                    <w:r>
                      <w:rPr>
                        <w:rStyle w:val="Hyperlink"/>
                      </w:rPr>
                      <w:t xml:space="preserve">Aboriginal and Torres Strait Islander standalone substance use services drug of concern</w:t>
                    </w:r>
                  </w:hyperlink>
                </w:p>
              </w:tc>
              <w:tc>
                <w:tcPr>
                  <w:vAlign w:val="top"/>
                </w:tcPr>
                <w:p>
                  <w:r>
                    <w:t xml:space="preserve">575543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Alcohol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Tobacco/nicotine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Cannabis/marijuana</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Petrol</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Other solvents/inhalants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Heroin</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Methadone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Morphine</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Barbiturates</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Cocaine</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Benzodiazepines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Amphetamines</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Ecstasy/MDMA</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LSD</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Kava</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Steroids/anabolic agents</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Multiple drug use (two or more drugs/substances)</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drugs (please specify)</w:t>
                        </w:r>
                      </w:p>
                    </w:tc>
                  </w:tr>
                </w:tbl>
                <w:p/>
              </w:tc>
            </w:tr>
            <w:tr>
              <w:trPr/>
              <w:tc>
                <w:tcPr>
                  <w:tcMar>
                    <w:right w:w="29" w:type="dxa"/>
                  </w:tcMar>
                  <w:vAlign w:val="top"/>
                </w:tcPr>
                <w:p>
                  <w:pPr>
                    <w:keepNext/>
                    <w:jc w:val="center"/>
                  </w:pPr>
                  <w:r>
                    <w:t xml:space="preserve">2</w:t>
                  </w:r>
                </w:p>
              </w:tc>
              <w:tc>
                <w:tcPr>
                  <w:tcMar/>
                  <w:vAlign w:val="top"/>
                </w:tcPr>
                <w:p>
                  <w:hyperlink w:history="true" r:id="R24a297608d594f7e">
                    <w:r>
                      <w:rPr>
                        <w:rStyle w:val="Hyperlink"/>
                      </w:rPr>
                      <w:t xml:space="preserve">Drug of concern text</w:t>
                    </w:r>
                  </w:hyperlink>
                </w:p>
              </w:tc>
              <w:tc>
                <w:tcPr>
                  <w:vAlign w:val="top"/>
                </w:tcPr>
                <w:p>
                  <w:r>
                    <w:t xml:space="preserve">568998</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3</w:t>
                  </w:r>
                </w:p>
              </w:tc>
              <w:tc>
                <w:tcPr>
                  <w:tcMar/>
                  <w:vAlign w:val="top"/>
                </w:tcPr>
                <w:p>
                  <w:hyperlink w:history="true" r:id="Re4865df2e2124619">
                    <w:r>
                      <w:rPr>
                        <w:rStyle w:val="Hyperlink"/>
                      </w:rPr>
                      <w:t xml:space="preserve">Substance use treatment/assistance delivery method</w:t>
                    </w:r>
                  </w:hyperlink>
                </w:p>
              </w:tc>
              <w:tc>
                <w:tcPr>
                  <w:vAlign w:val="top"/>
                </w:tcPr>
                <w:p>
                  <w:r>
                    <w:t xml:space="preserve">569486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on an individual client basis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Substance use issue treatment/assistance delivered as a specifically targeted program</w:t>
                        </w:r>
                      </w:p>
                    </w:tc>
                  </w:tr>
                </w:tbl>
                <w:p/>
              </w:tc>
            </w:tr>
            <w:tr>
              <w:trPr/>
              <w:tc>
                <w:tcPr>
                  <w:tcMar>
                    <w:right w:w="29" w:type="dxa"/>
                  </w:tcMar>
                  <w:vAlign w:val="top"/>
                </w:tcPr>
                <w:p>
                  <w:pPr>
                    <w:keepNext/>
                    <w:jc w:val="center"/>
                  </w:pPr>
                  <w:r>
                    <w:t xml:space="preserve">4</w:t>
                  </w:r>
                </w:p>
              </w:tc>
              <w:tc>
                <w:tcPr>
                  <w:tcMar/>
                  <w:vAlign w:val="top"/>
                </w:tcPr>
                <w:p>
                  <w:hyperlink w:history="true" r:id="Rf49cb8cf66f74362">
                    <w:r>
                      <w:rPr>
                        <w:rStyle w:val="Hyperlink"/>
                      </w:rPr>
                      <w:t xml:space="preserve">Aboriginal and Torres Strait Islander standalone substance use services type</w:t>
                    </w:r>
                  </w:hyperlink>
                </w:p>
              </w:tc>
              <w:tc>
                <w:tcPr>
                  <w:vAlign w:val="top"/>
                </w:tcPr>
                <w:p>
                  <w:r>
                    <w:t xml:space="preserve">575652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Case management of clients with substance use issues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Management of Hepatitis C</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Information/education about substance use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School education and visits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Community education/activities</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Support groups</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Individual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Telephone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Group counselling</w:t>
                        </w:r>
                      </w:p>
                    </w:tc>
                  </w:tr>
                  <w:tr>
                    <w:trPr/>
                    <w:tc>
                      <w:tcPr>
                        <w:tcW w:w="1000" w:type="pct"/>
                        <w:tcBorders>
                          <w:top w:val="none" w:color="000000" w:sz="0"/>
                          <w:left w:val="none" w:color="000000" w:sz="0"/>
                          <w:bottom w:val="none" w:color="000000" w:sz="0"/>
                          <w:right w:val="none" w:color="000000" w:sz="0"/>
                        </w:tcBorders>
                        <w:tcMar/>
                        <w:vAlign w:val="top"/>
                      </w:tcPr>
                      <w:p>
                        <w:r>
                          <w:t xml:space="preserve">10 </w:t>
                        </w:r>
                      </w:p>
                    </w:tc>
                    <w:tc>
                      <w:tcPr>
                        <w:tcBorders>
                          <w:top w:val="none" w:color="000000" w:sz="0"/>
                          <w:left w:val="none" w:color="000000" w:sz="0"/>
                          <w:bottom w:val="none" w:color="000000" w:sz="0"/>
                          <w:right w:val="none" w:color="000000" w:sz="0"/>
                        </w:tcBorders>
                        <w:tcMar/>
                        <w:vAlign w:val="top"/>
                      </w:tcPr>
                      <w:p>
                        <w:r>
                          <w:t xml:space="preserve">Crisis intervention</w:t>
                        </w:r>
                      </w:p>
                    </w:tc>
                  </w:tr>
                  <w:tr>
                    <w:trPr/>
                    <w:tc>
                      <w:tcPr>
                        <w:tcW w:w="1000" w:type="pct"/>
                        <w:tcBorders>
                          <w:top w:val="none" w:color="000000" w:sz="0"/>
                          <w:left w:val="none" w:color="000000" w:sz="0"/>
                          <w:bottom w:val="none" w:color="000000" w:sz="0"/>
                          <w:right w:val="none" w:color="000000" w:sz="0"/>
                        </w:tcBorders>
                        <w:tcMar/>
                        <w:vAlign w:val="top"/>
                      </w:tcPr>
                      <w:p>
                        <w:r>
                          <w:t xml:space="preserve">11 </w:t>
                        </w:r>
                      </w:p>
                    </w:tc>
                    <w:tc>
                      <w:tcPr>
                        <w:tcBorders>
                          <w:top w:val="none" w:color="000000" w:sz="0"/>
                          <w:left w:val="none" w:color="000000" w:sz="0"/>
                          <w:bottom w:val="none" w:color="000000" w:sz="0"/>
                          <w:right w:val="none" w:color="000000" w:sz="0"/>
                        </w:tcBorders>
                        <w:tcMar/>
                        <w:vAlign w:val="top"/>
                      </w:tcPr>
                      <w:p>
                        <w:r>
                          <w:t xml:space="preserve">General living skills</w:t>
                        </w:r>
                      </w:p>
                    </w:tc>
                  </w:tr>
                  <w:tr>
                    <w:trPr/>
                    <w:tc>
                      <w:tcPr>
                        <w:tcW w:w="1000" w:type="pct"/>
                        <w:tcBorders>
                          <w:top w:val="none" w:color="000000" w:sz="0"/>
                          <w:left w:val="none" w:color="000000" w:sz="0"/>
                          <w:bottom w:val="none" w:color="000000" w:sz="0"/>
                          <w:right w:val="none" w:color="000000" w:sz="0"/>
                        </w:tcBorders>
                        <w:tcMar/>
                        <w:vAlign w:val="top"/>
                      </w:tcPr>
                      <w:p>
                        <w:r>
                          <w:t xml:space="preserve">12 </w:t>
                        </w:r>
                      </w:p>
                    </w:tc>
                    <w:tc>
                      <w:tcPr>
                        <w:tcBorders>
                          <w:top w:val="none" w:color="000000" w:sz="0"/>
                          <w:left w:val="none" w:color="000000" w:sz="0"/>
                          <w:bottom w:val="none" w:color="000000" w:sz="0"/>
                          <w:right w:val="none" w:color="000000" w:sz="0"/>
                        </w:tcBorders>
                        <w:tcMar/>
                        <w:vAlign w:val="top"/>
                      </w:tcPr>
                      <w:p>
                        <w:r>
                          <w:t xml:space="preserve">Relationship/social skills training</w:t>
                        </w:r>
                      </w:p>
                    </w:tc>
                  </w:tr>
                  <w:tr>
                    <w:trPr/>
                    <w:tc>
                      <w:tcPr>
                        <w:tcW w:w="1000" w:type="pct"/>
                        <w:tcBorders>
                          <w:top w:val="none" w:color="000000" w:sz="0"/>
                          <w:left w:val="none" w:color="000000" w:sz="0"/>
                          <w:bottom w:val="none" w:color="000000" w:sz="0"/>
                          <w:right w:val="none" w:color="000000" w:sz="0"/>
                        </w:tcBorders>
                        <w:tcMar/>
                        <w:vAlign w:val="top"/>
                      </w:tcPr>
                      <w:p>
                        <w:r>
                          <w:t xml:space="preserve">13 </w:t>
                        </w:r>
                      </w:p>
                    </w:tc>
                    <w:tc>
                      <w:tcPr>
                        <w:tcBorders>
                          <w:top w:val="none" w:color="000000" w:sz="0"/>
                          <w:left w:val="none" w:color="000000" w:sz="0"/>
                          <w:bottom w:val="none" w:color="000000" w:sz="0"/>
                          <w:right w:val="none" w:color="000000" w:sz="0"/>
                        </w:tcBorders>
                        <w:tcMar/>
                        <w:vAlign w:val="top"/>
                      </w:tcPr>
                      <w:p>
                        <w:r>
                          <w:t xml:space="preserve">Cultural activities</w:t>
                        </w:r>
                      </w:p>
                    </w:tc>
                  </w:tr>
                  <w:tr>
                    <w:trPr/>
                    <w:tc>
                      <w:tcPr>
                        <w:tcW w:w="1000" w:type="pct"/>
                        <w:tcBorders>
                          <w:top w:val="none" w:color="000000" w:sz="0"/>
                          <w:left w:val="none" w:color="000000" w:sz="0"/>
                          <w:bottom w:val="none" w:color="000000" w:sz="0"/>
                          <w:right w:val="none" w:color="000000" w:sz="0"/>
                        </w:tcBorders>
                        <w:tcMar/>
                        <w:vAlign w:val="top"/>
                      </w:tcPr>
                      <w:p>
                        <w:r>
                          <w:t xml:space="preserve">14 </w:t>
                        </w:r>
                      </w:p>
                    </w:tc>
                    <w:tc>
                      <w:tcPr>
                        <w:tcBorders>
                          <w:top w:val="none" w:color="000000" w:sz="0"/>
                          <w:left w:val="none" w:color="000000" w:sz="0"/>
                          <w:bottom w:val="none" w:color="000000" w:sz="0"/>
                          <w:right w:val="none" w:color="000000" w:sz="0"/>
                        </w:tcBorders>
                        <w:tcMar/>
                        <w:vAlign w:val="top"/>
                      </w:tcPr>
                      <w:p>
                        <w:r>
                          <w:t xml:space="preserve">Needle exchange</w:t>
                        </w:r>
                      </w:p>
                    </w:tc>
                  </w:tr>
                  <w:tr>
                    <w:trPr/>
                    <w:tc>
                      <w:tcPr>
                        <w:tcW w:w="1000" w:type="pct"/>
                        <w:tcBorders>
                          <w:top w:val="none" w:color="000000" w:sz="0"/>
                          <w:left w:val="none" w:color="000000" w:sz="0"/>
                          <w:bottom w:val="none" w:color="000000" w:sz="0"/>
                          <w:right w:val="none" w:color="000000" w:sz="0"/>
                        </w:tcBorders>
                        <w:tcMar/>
                        <w:vAlign w:val="top"/>
                      </w:tcPr>
                      <w:p>
                        <w:r>
                          <w:t xml:space="preserve">15 </w:t>
                        </w:r>
                      </w:p>
                    </w:tc>
                    <w:tc>
                      <w:tcPr>
                        <w:tcBorders>
                          <w:top w:val="none" w:color="000000" w:sz="0"/>
                          <w:left w:val="none" w:color="000000" w:sz="0"/>
                          <w:bottom w:val="none" w:color="000000" w:sz="0"/>
                          <w:right w:val="none" w:color="000000" w:sz="0"/>
                        </w:tcBorders>
                        <w:tcMar/>
                        <w:vAlign w:val="top"/>
                      </w:tcPr>
                      <w:p>
                        <w:r>
                          <w:t xml:space="preserve">Methadone management</w:t>
                        </w:r>
                      </w:p>
                    </w:tc>
                  </w:tr>
                  <w:tr>
                    <w:trPr/>
                    <w:tc>
                      <w:tcPr>
                        <w:tcW w:w="1000" w:type="pct"/>
                        <w:tcBorders>
                          <w:top w:val="none" w:color="000000" w:sz="0"/>
                          <w:left w:val="none" w:color="000000" w:sz="0"/>
                          <w:bottom w:val="none" w:color="000000" w:sz="0"/>
                          <w:right w:val="none" w:color="000000" w:sz="0"/>
                        </w:tcBorders>
                        <w:tcMar/>
                        <w:vAlign w:val="top"/>
                      </w:tcPr>
                      <w:p>
                        <w:r>
                          <w:t xml:space="preserve">16 </w:t>
                        </w:r>
                      </w:p>
                    </w:tc>
                    <w:tc>
                      <w:tcPr>
                        <w:tcBorders>
                          <w:top w:val="none" w:color="000000" w:sz="0"/>
                          <w:left w:val="none" w:color="000000" w:sz="0"/>
                          <w:bottom w:val="none" w:color="000000" w:sz="0"/>
                          <w:right w:val="none" w:color="000000" w:sz="0"/>
                        </w:tcBorders>
                        <w:tcMar/>
                        <w:vAlign w:val="top"/>
                      </w:tcPr>
                      <w:p>
                        <w:r>
                          <w:t xml:space="preserve">Detoxification support and referral</w:t>
                        </w:r>
                      </w:p>
                    </w:tc>
                  </w:tr>
                  <w:tr>
                    <w:trPr/>
                    <w:tc>
                      <w:tcPr>
                        <w:tcW w:w="1000" w:type="pct"/>
                        <w:tcBorders>
                          <w:top w:val="none" w:color="000000" w:sz="0"/>
                          <w:left w:val="none" w:color="000000" w:sz="0"/>
                          <w:bottom w:val="none" w:color="000000" w:sz="0"/>
                          <w:right w:val="none" w:color="000000" w:sz="0"/>
                        </w:tcBorders>
                        <w:tcMar/>
                        <w:vAlign w:val="top"/>
                      </w:tcPr>
                      <w:p>
                        <w:r>
                          <w:t xml:space="preserve">17 </w:t>
                        </w:r>
                      </w:p>
                    </w:tc>
                    <w:tc>
                      <w:tcPr>
                        <w:tcBorders>
                          <w:top w:val="none" w:color="000000" w:sz="0"/>
                          <w:left w:val="none" w:color="000000" w:sz="0"/>
                          <w:bottom w:val="none" w:color="000000" w:sz="0"/>
                          <w:right w:val="none" w:color="000000" w:sz="0"/>
                        </w:tcBorders>
                        <w:tcMar/>
                        <w:vAlign w:val="top"/>
                      </w:tcPr>
                      <w:p>
                        <w:r>
                          <w:t xml:space="preserve">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18 </w:t>
                        </w:r>
                      </w:p>
                    </w:tc>
                    <w:tc>
                      <w:tcPr>
                        <w:tcBorders>
                          <w:top w:val="none" w:color="000000" w:sz="0"/>
                          <w:left w:val="none" w:color="000000" w:sz="0"/>
                          <w:bottom w:val="none" w:color="000000" w:sz="0"/>
                          <w:right w:val="none" w:color="000000" w:sz="0"/>
                        </w:tcBorders>
                        <w:tcMar/>
                        <w:vAlign w:val="top"/>
                      </w:tcPr>
                      <w:p>
                        <w:r>
                          <w:t xml:space="preserve">Non-medicated detoxification</w:t>
                        </w:r>
                      </w:p>
                    </w:tc>
                  </w:tr>
                  <w:tr>
                    <w:trPr/>
                    <w:tc>
                      <w:tcPr>
                        <w:tcW w:w="1000" w:type="pct"/>
                        <w:tcBorders>
                          <w:top w:val="none" w:color="000000" w:sz="0"/>
                          <w:left w:val="none" w:color="000000" w:sz="0"/>
                          <w:bottom w:val="none" w:color="000000" w:sz="0"/>
                          <w:right w:val="none" w:color="000000" w:sz="0"/>
                        </w:tcBorders>
                        <w:tcMar/>
                        <w:vAlign w:val="top"/>
                      </w:tcPr>
                      <w:p>
                        <w:r>
                          <w:t xml:space="preserve">19 </w:t>
                        </w:r>
                      </w:p>
                    </w:tc>
                    <w:tc>
                      <w:tcPr>
                        <w:tcBorders>
                          <w:top w:val="none" w:color="000000" w:sz="0"/>
                          <w:left w:val="none" w:color="000000" w:sz="0"/>
                          <w:bottom w:val="none" w:color="000000" w:sz="0"/>
                          <w:right w:val="none" w:color="000000" w:sz="0"/>
                        </w:tcBorders>
                        <w:tcMar/>
                        <w:vAlign w:val="top"/>
                      </w:tcPr>
                      <w:p>
                        <w:r>
                          <w:t xml:space="preserve">Tobacco control program</w:t>
                        </w:r>
                      </w:p>
                    </w:tc>
                  </w:tr>
                  <w:tr>
                    <w:trPr/>
                    <w:tc>
                      <w:tcPr>
                        <w:tcW w:w="1000" w:type="pct"/>
                        <w:tcBorders>
                          <w:top w:val="none" w:color="000000" w:sz="0"/>
                          <w:left w:val="none" w:color="000000" w:sz="0"/>
                          <w:bottom w:val="none" w:color="000000" w:sz="0"/>
                          <w:right w:val="none" w:color="000000" w:sz="0"/>
                        </w:tcBorders>
                        <w:tcMar/>
                        <w:vAlign w:val="top"/>
                      </w:tcPr>
                      <w:p>
                        <w:r>
                          <w:t xml:space="preserve">20 </w:t>
                        </w:r>
                      </w:p>
                    </w:tc>
                    <w:tc>
                      <w:tcPr>
                        <w:tcBorders>
                          <w:top w:val="none" w:color="000000" w:sz="0"/>
                          <w:left w:val="none" w:color="000000" w:sz="0"/>
                          <w:bottom w:val="none" w:color="000000" w:sz="0"/>
                          <w:right w:val="none" w:color="000000" w:sz="0"/>
                        </w:tcBorders>
                        <w:tcMar/>
                        <w:vAlign w:val="top"/>
                      </w:tcPr>
                      <w:p>
                        <w:r>
                          <w:t xml:space="preserve">Mobile assistance program/ night patrol</w:t>
                        </w:r>
                      </w:p>
                    </w:tc>
                  </w:tr>
                  <w:tr>
                    <w:trPr/>
                    <w:tc>
                      <w:tcPr>
                        <w:tcW w:w="1000" w:type="pct"/>
                        <w:tcBorders>
                          <w:top w:val="none" w:color="000000" w:sz="0"/>
                          <w:left w:val="none" w:color="000000" w:sz="0"/>
                          <w:bottom w:val="none" w:color="000000" w:sz="0"/>
                          <w:right w:val="none" w:color="000000" w:sz="0"/>
                        </w:tcBorders>
                        <w:tcMar/>
                        <w:vAlign w:val="top"/>
                      </w:tcPr>
                      <w:p>
                        <w:r>
                          <w:t xml:space="preserve">21 </w:t>
                        </w:r>
                      </w:p>
                    </w:tc>
                    <w:tc>
                      <w:tcPr>
                        <w:tcBorders>
                          <w:top w:val="none" w:color="000000" w:sz="0"/>
                          <w:left w:val="none" w:color="000000" w:sz="0"/>
                          <w:bottom w:val="none" w:color="000000" w:sz="0"/>
                          <w:right w:val="none" w:color="000000" w:sz="0"/>
                        </w:tcBorders>
                        <w:tcMar/>
                        <w:vAlign w:val="top"/>
                      </w:tcPr>
                      <w:p>
                        <w:r>
                          <w:t xml:space="preserve">Welfare/emergency relief</w:t>
                        </w:r>
                      </w:p>
                    </w:tc>
                  </w:tr>
                  <w:tr>
                    <w:trPr/>
                    <w:tc>
                      <w:tcPr>
                        <w:tcW w:w="1000" w:type="pct"/>
                        <w:tcBorders>
                          <w:top w:val="none" w:color="000000" w:sz="0"/>
                          <w:left w:val="none" w:color="000000" w:sz="0"/>
                          <w:bottom w:val="none" w:color="000000" w:sz="0"/>
                          <w:right w:val="none" w:color="000000" w:sz="0"/>
                        </w:tcBorders>
                        <w:tcMar/>
                        <w:vAlign w:val="top"/>
                      </w:tcPr>
                      <w:p>
                        <w:r>
                          <w:t xml:space="preserve">22 </w:t>
                        </w:r>
                      </w:p>
                    </w:tc>
                    <w:tc>
                      <w:tcPr>
                        <w:tcBorders>
                          <w:top w:val="none" w:color="000000" w:sz="0"/>
                          <w:left w:val="none" w:color="000000" w:sz="0"/>
                          <w:bottom w:val="none" w:color="000000" w:sz="0"/>
                          <w:right w:val="none" w:color="000000" w:sz="0"/>
                        </w:tcBorders>
                        <w:tcMar/>
                        <w:vAlign w:val="top"/>
                      </w:tcPr>
                      <w:p>
                        <w:r>
                          <w:t xml:space="preserve">Support for clients accessing mainstream services</w:t>
                        </w:r>
                      </w:p>
                    </w:tc>
                  </w:tr>
                  <w:tr>
                    <w:trPr/>
                    <w:tc>
                      <w:tcPr>
                        <w:tcW w:w="1000" w:type="pct"/>
                        <w:tcBorders>
                          <w:top w:val="none" w:color="000000" w:sz="0"/>
                          <w:left w:val="none" w:color="000000" w:sz="0"/>
                          <w:bottom w:val="none" w:color="000000" w:sz="0"/>
                          <w:right w:val="none" w:color="000000" w:sz="0"/>
                        </w:tcBorders>
                        <w:tcMar/>
                        <w:vAlign w:val="top"/>
                      </w:tcPr>
                      <w:p>
                        <w:r>
                          <w:t xml:space="preserve">23 </w:t>
                        </w:r>
                      </w:p>
                    </w:tc>
                    <w:tc>
                      <w:tcPr>
                        <w:tcBorders>
                          <w:top w:val="none" w:color="000000" w:sz="0"/>
                          <w:left w:val="none" w:color="000000" w:sz="0"/>
                          <w:bottom w:val="none" w:color="000000" w:sz="0"/>
                          <w:right w:val="none" w:color="000000" w:sz="0"/>
                        </w:tcBorders>
                        <w:tcMar/>
                        <w:vAlign w:val="top"/>
                      </w:tcPr>
                      <w:p>
                        <w:r>
                          <w:t xml:space="preserve"> Referral (please specify)</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5</w:t>
                  </w:r>
                </w:p>
              </w:tc>
              <w:tc>
                <w:tcPr>
                  <w:tcMar/>
                  <w:vAlign w:val="top"/>
                </w:tcPr>
                <w:p>
                  <w:hyperlink w:history="true" r:id="R281fa7a579544029">
                    <w:r>
                      <w:rPr>
                        <w:rStyle w:val="Hyperlink"/>
                      </w:rPr>
                      <w:t xml:space="preserve">Substance use services type text</w:t>
                    </w:r>
                  </w:hyperlink>
                </w:p>
              </w:tc>
              <w:tc>
                <w:tcPr>
                  <w:vAlign w:val="top"/>
                </w:tcPr>
                <w:p>
                  <w:r>
                    <w:t xml:space="preserve">568937</w:t>
                  </w:r>
                </w:p>
              </w:tc>
              <w:tc>
                <w:tcPr>
                  <w:vAlign w:val="top"/>
                </w:tcPr>
                <w:p>
                  <w:r>
                    <w:t xml:space="preserve">String
[200]</w:t>
                  </w:r>
                </w:p>
              </w:tc>
              <w:tc>
                <w:tcPr>
                  <w:vAlign w:val="top"/>
                </w:tcPr>
                <w:p>
                  <w:r>
                    <w:t xml:space="preserve">X[X(199)]</w:t>
                  </w:r>
                  <w:r>
                    <w:br/>
                  </w:r>
                </w:p>
                <w:p>
                  <w:r>
                    <w:t xml:space="preserve">A combination of alphanumeric characters.</w:t>
                  </w:r>
                </w:p>
              </w:tc>
            </w:tr>
            <w:tr>
              <w:trPr/>
              <w:tc>
                <w:tcPr>
                  <w:tcMar>
                    <w:right w:w="29" w:type="dxa"/>
                  </w:tcMar>
                  <w:vAlign w:val="top"/>
                </w:tcPr>
                <w:p>
                  <w:pPr>
                    <w:keepNext/>
                    <w:jc w:val="center"/>
                  </w:pPr>
                  <w:r>
                    <w:t xml:space="preserve">6</w:t>
                  </w:r>
                </w:p>
              </w:tc>
              <w:tc>
                <w:tcPr>
                  <w:tcMar/>
                  <w:vAlign w:val="top"/>
                </w:tcPr>
                <w:p>
                  <w:hyperlink w:history="true" r:id="R6a4872e0952b40fe">
                    <w:r>
                      <w:rPr>
                        <w:rStyle w:val="Hyperlink"/>
                      </w:rPr>
                      <w:t xml:space="preserve">Substance use treatment approach type</w:t>
                    </w:r>
                  </w:hyperlink>
                </w:p>
              </w:tc>
              <w:tc>
                <w:tcPr>
                  <w:vAlign w:val="top"/>
                </w:tcPr>
                <w:p>
                  <w:r>
                    <w:t xml:space="preserve">575762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Harm reduction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Controlled drinking</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Controlled use of other substances</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Abstinence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Cultural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Family/community support/involvement</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Religious/spiritual support</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Other (please specify)</w:t>
                        </w:r>
                      </w:p>
                    </w:tc>
                  </w:tr>
                </w:tbl>
                <w:p/>
              </w:tc>
            </w:tr>
            <w:tr>
              <w:trPr/>
              <w:tc>
                <w:tcPr>
                  <w:tcMar>
                    <w:right w:w="29" w:type="dxa"/>
                  </w:tcMar>
                  <w:vAlign w:val="top"/>
                </w:tcPr>
                <w:p>
                  <w:pPr>
                    <w:keepNext/>
                    <w:jc w:val="center"/>
                  </w:pPr>
                  <w:r>
                    <w:t xml:space="preserve">7</w:t>
                  </w:r>
                </w:p>
              </w:tc>
              <w:tc>
                <w:tcPr>
                  <w:tcMar/>
                  <w:vAlign w:val="top"/>
                </w:tcPr>
                <w:p>
                  <w:hyperlink w:history="true" r:id="R2cfc6ea907754eaf">
                    <w:r>
                      <w:rPr>
                        <w:rStyle w:val="Hyperlink"/>
                      </w:rPr>
                      <w:t xml:space="preserve">Substance use treatment approach type text </w:t>
                    </w:r>
                  </w:hyperlink>
                </w:p>
              </w:tc>
              <w:tc>
                <w:tcPr>
                  <w:vAlign w:val="top"/>
                </w:tcPr>
                <w:p>
                  <w:r>
                    <w:t xml:space="preserve">575892</w:t>
                  </w:r>
                </w:p>
              </w:tc>
              <w:tc>
                <w:tcPr>
                  <w:vAlign w:val="top"/>
                </w:tcPr>
                <w:p>
                  <w:r>
                    <w:t xml:space="preserve">String
[200]</w:t>
                  </w:r>
                </w:p>
              </w:tc>
              <w:tc>
                <w:tcPr>
                  <w:vAlign w:val="top"/>
                </w:tcPr>
                <w:p>
                  <w:r>
                    <w:t xml:space="preserve">X[X(199)]</w:t>
                  </w:r>
                  <w:r>
                    <w:br/>
                  </w:r>
                </w:p>
                <w:p>
                  <w:r>
                    <w:t xml:space="preserve">A combination of alphanumeric characters.</w:t>
                  </w:r>
                </w:p>
              </w:tc>
            </w:tr>
          </w:tbl>
          <w:p/>
        </w:tc>
      </w:tr>
    </w:tbl>
    <w:p>
      <w:r>
        <w:br/>
      </w:r>
    </w:p>
    <w:sectPr>
      <w:footerReference xmlns:r="http://schemas.openxmlformats.org/officeDocument/2006/relationships" w:type="default" r:id="Rb1aa2c7afd634fa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677153</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ed4aaba6c49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a2c7afd634fa4" /><Relationship Type="http://schemas.openxmlformats.org/officeDocument/2006/relationships/header" Target="/word/header1.xml" Id="R2965f54b631a4a3c" /><Relationship Type="http://schemas.openxmlformats.org/officeDocument/2006/relationships/settings" Target="/word/settings.xml" Id="Refce79295b0d4b54" /><Relationship Type="http://schemas.openxmlformats.org/officeDocument/2006/relationships/styles" Target="/word/styles.xml" Id="R93257cbb5dc64eb7" /><Relationship Type="http://schemas.openxmlformats.org/officeDocument/2006/relationships/hyperlink" Target="https://meteor.aihw.gov.au/content/575543" TargetMode="External" Id="R7b9471cb34b5432e" /><Relationship Type="http://schemas.openxmlformats.org/officeDocument/2006/relationships/hyperlink" Target="https://meteor.aihw.gov.au/content/568998" TargetMode="External" Id="R24a297608d594f7e" /><Relationship Type="http://schemas.openxmlformats.org/officeDocument/2006/relationships/hyperlink" Target="https://meteor.aihw.gov.au/content/569486" TargetMode="External" Id="Re4865df2e2124619" /><Relationship Type="http://schemas.openxmlformats.org/officeDocument/2006/relationships/hyperlink" Target="https://meteor.aihw.gov.au/content/575652" TargetMode="External" Id="Rf49cb8cf66f74362" /><Relationship Type="http://schemas.openxmlformats.org/officeDocument/2006/relationships/hyperlink" Target="https://meteor.aihw.gov.au/content/568937" TargetMode="External" Id="R281fa7a579544029" /><Relationship Type="http://schemas.openxmlformats.org/officeDocument/2006/relationships/hyperlink" Target="https://meteor.aihw.gov.au/content/575762" TargetMode="External" Id="R6a4872e0952b40fe" /><Relationship Type="http://schemas.openxmlformats.org/officeDocument/2006/relationships/hyperlink" Target="https://meteor.aihw.gov.au/content/575892" TargetMode="External" Id="R2cfc6ea907754eaf" /></Relationships>
</file>

<file path=word/_rels/header1.xml.rels>&#65279;<?xml version="1.0" encoding="utf-8"?><Relationships xmlns="http://schemas.openxmlformats.org/package/2006/relationships"><Relationship Type="http://schemas.openxmlformats.org/officeDocument/2006/relationships/image" Target="/media/image.png" Id="R333ed4aaba6c4998" /></Relationships>
</file>