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2a1c06f9e1c4e27" /></Relationships>
</file>

<file path=word/document.xml><?xml version="1.0" encoding="utf-8"?>
<w:document xmlns:r="http://schemas.openxmlformats.org/officeDocument/2006/relationships" xmlns:w="http://schemas.openxmlformats.org/wordprocessingml/2006/main">
  <w:body>
    <w:p>
      <w:pPr>
        <w:pStyle w:val="Title"/>
      </w:pPr>
      <w:r>
        <w:t>Aboriginal and Torres Strait Islander standalone substance use service client numbers cluster</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Aboriginal and Torres Strait Islander standalone substance use service client numbers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677077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30a5ffbf0174078">
              <w:r>
                <w:rPr>
                  <w:rStyle w:val="Hyperlink"/>
                  <w:color w:val="244061"/>
                </w:rPr>
                <w:t xml:space="preserve">Indigenous</w:t>
              </w:r>
            </w:hyperlink>
            <w:r>
              <w:rPr>
                <w:rStyle w:val="row-content"/>
                <w:color w:val="244061"/>
              </w:rPr>
              <w:t xml:space="preserve">, Standard 07/12/2017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Aboriginal and Torres Strait Islander standalone substance use service client numbers cluster describes the number of clients seen by the standalone substance use service during the reporting period, by Indigenous status, and sex.</w:t>
            </w:r>
          </w:p>
          <w:p>
            <w:pPr>
              <w:spacing w:after="160"/>
            </w:pPr>
            <w:r>
              <w:rPr>
                <w:rStyle w:val="row-content-rich-text"/>
                <w:b/>
              </w:rPr>
              <w:t xml:space="preserve">Number of clients</w:t>
            </w:r>
          </w:p>
          <w:tbl>
            <w:tblPr>
              <w:tblStyle w:val="TableGrid"/>
              <w:tblW w:w="5000" w:type="pct"/>
              <w:tblLayout w:type="autofit"/>
            </w:tblPr>
            <w:tblGrid>
              <w:gridCol/>
              <w:gridCol/>
              <w:gridCol/>
              <w:gridCol/>
            </w:tblGrid>
            <w:tr>
              <w:trPr/>
              <w:tc>
                <w:tcPr>
                  <w:tcW w:w="2500" w:type="pct"/>
                  <w:vAlign w:val="top"/>
                </w:tcPr>
                <w:p>
                  <w:pPr/>
                  <w:r>
                    <w:rPr>
                      <w:rStyle w:val="row-content-rich-text"/>
                    </w:rPr>
                    <w:t xml:space="preserve"> </w:t>
                  </w:r>
                  <w:r>
                    <w:rPr>
                      <w:rStyle w:val="row-content-rich-text"/>
                    </w:rPr>
                    <w:t xml:space="preserve"> </w:t>
                  </w:r>
                </w:p>
              </w:tc>
              <w:tc>
                <w:tcPr>
                  <w:tcW w:w="750" w:type="pct"/>
                  <w:vAlign w:val="top"/>
                </w:tcPr>
                <w:p>
                  <w:r>
                    <w:t xml:space="preserve">Male</w:t>
                  </w:r>
                </w:p>
              </w:tc>
              <w:tc>
                <w:tcPr>
                  <w:tcW w:w="850" w:type="pct"/>
                  <w:vAlign w:val="top"/>
                </w:tcPr>
                <w:p>
                  <w:r>
                    <w:t xml:space="preserve">Female</w:t>
                  </w:r>
                </w:p>
              </w:tc>
              <w:tc>
                <w:tcPr>
                  <w:tcW w:w="800" w:type="pct"/>
                  <w:vAlign w:val="top"/>
                </w:tcPr>
                <w:p>
                  <w:r>
                    <w:t xml:space="preserve">Total</w:t>
                  </w:r>
                </w:p>
              </w:tc>
            </w:tr>
            <w:tr>
              <w:trPr/>
              <w:tc>
                <w:tcPr>
                  <w:tcW w:w="2500" w:type="pct"/>
                  <w:vAlign w:val="top"/>
                </w:tcPr>
                <w:p>
                  <w:r>
                    <w:t xml:space="preserve">Aboriginal or Torres Strait Islander clients</w:t>
                  </w:r>
                </w:p>
              </w:tc>
              <w:tc>
                <w:tcPr>
                  <w:tcW w:w="750" w:type="pct"/>
                  <w:vAlign w:val="top"/>
                </w:tcPr>
                <w:p>
                  <w:r>
                    <w:t xml:space="preserve">N[NNN]</w:t>
                  </w:r>
                </w:p>
              </w:tc>
              <w:tc>
                <w:tcPr>
                  <w:tcW w:w="850" w:type="pct"/>
                  <w:vAlign w:val="top"/>
                </w:tcPr>
                <w:p>
                  <w:r>
                    <w:t xml:space="preserve">N[NNN]</w:t>
                  </w:r>
                </w:p>
              </w:tc>
              <w:tc>
                <w:tcPr>
                  <w:tcW w:w="800" w:type="pct"/>
                  <w:vAlign w:val="top"/>
                </w:tcPr>
                <w:p>
                  <w:r>
                    <w:t xml:space="preserve">N[NNN]</w:t>
                  </w:r>
                </w:p>
              </w:tc>
            </w:tr>
            <w:tr>
              <w:trPr/>
              <w:tc>
                <w:tcPr>
                  <w:tcW w:w="2500" w:type="pct"/>
                  <w:vAlign w:val="top"/>
                </w:tcPr>
                <w:p>
                  <w:r>
                    <w:t xml:space="preserve">Non-Indigenous clients</w:t>
                  </w:r>
                </w:p>
              </w:tc>
              <w:tc>
                <w:tcPr>
                  <w:tcW w:w="750" w:type="pct"/>
                  <w:vAlign w:val="top"/>
                </w:tcPr>
                <w:p>
                  <w:r>
                    <w:t xml:space="preserve">N[NNN]</w:t>
                  </w:r>
                </w:p>
              </w:tc>
              <w:tc>
                <w:tcPr>
                  <w:tcW w:w="850" w:type="pct"/>
                  <w:vAlign w:val="top"/>
                </w:tcPr>
                <w:p>
                  <w:r>
                    <w:t xml:space="preserve">N[NNN]</w:t>
                  </w:r>
                </w:p>
              </w:tc>
              <w:tc>
                <w:tcPr>
                  <w:tcW w:w="800" w:type="pct"/>
                  <w:vAlign w:val="top"/>
                </w:tcPr>
                <w:p>
                  <w:r>
                    <w:t xml:space="preserve">N[NNN]</w:t>
                  </w:r>
                </w:p>
              </w:tc>
            </w:tr>
            <w:tr>
              <w:trPr/>
              <w:tc>
                <w:tcPr>
                  <w:tcW w:w="2500" w:type="pct"/>
                  <w:vAlign w:val="top"/>
                </w:tcPr>
                <w:p>
                  <w:r>
                    <w:t xml:space="preserve">Total clients</w:t>
                  </w:r>
                </w:p>
              </w:tc>
              <w:tc>
                <w:tcPr>
                  <w:tcW w:w="750" w:type="pct"/>
                  <w:vAlign w:val="top"/>
                </w:tcPr>
                <w:p>
                  <w:r>
                    <w:t xml:space="preserve">N[NNN]</w:t>
                  </w:r>
                </w:p>
              </w:tc>
              <w:tc>
                <w:tcPr>
                  <w:tcW w:w="850" w:type="pct"/>
                  <w:vAlign w:val="top"/>
                </w:tcPr>
                <w:p>
                  <w:r>
                    <w:t xml:space="preserve">N[NNN]</w:t>
                  </w:r>
                </w:p>
              </w:tc>
              <w:tc>
                <w:tcPr>
                  <w:tcW w:w="800" w:type="pct"/>
                  <w:vAlign w:val="top"/>
                </w:tcPr>
                <w:p>
                  <w:r>
                    <w:t xml:space="preserve">N[NNN]</w:t>
                  </w:r>
                </w:p>
              </w:tc>
            </w:tr>
          </w:tbl>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Each individual client is counted once only, irrespective of the number of times that they have been seen, and whether they attended more than one program.</w:t>
            </w:r>
          </w:p>
          <w:p>
            <w:pPr>
              <w:spacing w:after="160"/>
            </w:pPr>
            <w:r>
              <w:rPr>
                <w:rStyle w:val="row-content-rich-text"/>
              </w:rPr>
              <w:t xml:space="preserve">Inclusions:</w:t>
            </w:r>
          </w:p>
          <w:p>
            <w:pPr>
              <w:pStyle w:val="ListParagraph"/>
              <w:numPr>
                <w:ilvl w:val="0"/>
                <w:numId w:val="2"/>
              </w:numPr>
            </w:pPr>
            <w:r>
              <w:rPr>
                <w:rStyle w:val="row-content-rich-text"/>
              </w:rPr>
              <w:t xml:space="preserve">clients that received individual care, including residential care (e.g. residential treatment/rehabilitation and sobering-up/residential respite)</w:t>
            </w:r>
          </w:p>
          <w:p>
            <w:pPr>
              <w:pStyle w:val="ListParagraph"/>
              <w:numPr>
                <w:ilvl w:val="0"/>
                <w:numId w:val="2"/>
              </w:numPr>
            </w:pPr>
            <w:r>
              <w:rPr>
                <w:rStyle w:val="row-content-rich-text"/>
              </w:rPr>
              <w:t xml:space="preserve">clients not in residential care and receiving individual counselling, home visits, telephone counselling, Mobile Assistance Patrol/Night Patrol (if provided by the service)</w:t>
            </w:r>
          </w:p>
          <w:p>
            <w:pPr>
              <w:spacing w:after="160"/>
            </w:pPr>
            <w:r>
              <w:rPr>
                <w:rStyle w:val="row-content-rich-text"/>
              </w:rPr>
              <w:t xml:space="preserve">Exclusions:</w:t>
            </w:r>
          </w:p>
          <w:p>
            <w:pPr>
              <w:pStyle w:val="ListParagraph"/>
              <w:numPr>
                <w:ilvl w:val="0"/>
                <w:numId w:val="3"/>
              </w:numPr>
            </w:pPr>
            <w:r>
              <w:rPr>
                <w:rStyle w:val="row-content-rich-text"/>
              </w:rPr>
              <w:t xml:space="preserve">clients who attended groups and did not attend the service individually.</w:t>
            </w:r>
          </w:p>
          <w:p>
            <w:pPr>
              <w:pStyle w:val="ListParagraph"/>
              <w:numPr>
                <w:ilvl w:val="0"/>
                <w:numId w:val="3"/>
              </w:numPr>
            </w:pPr>
            <w:r>
              <w:rPr>
                <w:rStyle w:val="row-content-rich-text"/>
              </w:rPr>
              <w:t xml:space="preserve">Family members of clients unless the family member is also a client of the service in their own right and has their own file/record.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estimation is acceptable if accurate figures are not available.</w:t>
            </w:r>
          </w:p>
          <w:p>
            <w:pPr/>
            <w:r>
              <w:rPr>
                <w:rStyle w:val="row-content-rich-text"/>
              </w:rPr>
              <w:t xml:space="preserve">The Aboriginal and Torres Strait Islander standalone substance use service is required to provide counts of male, female and total clients by Indigenous status, as detailed in the Scope, Number of clients table. The total clients may include counts for which Indigenous status or sex was not known or not reported.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25386520983429b">
              <w:r>
                <w:rPr>
                  <w:rStyle w:val="Hyperlink"/>
                </w:rPr>
                <w:t xml:space="preserve">Aboriginal and Torres Strait Islander standalone substance use services client numbers cluster</w:t>
              </w:r>
            </w:hyperlink>
          </w:p>
          <w:p>
            <w:pPr>
              <w:spacing w:before="0" w:after="0"/>
            </w:pPr>
            <w:r>
              <w:rPr>
                <w:rStyle w:val="row-content"/>
                <w:color w:val="244061"/>
              </w:rPr>
              <w:t xml:space="preserve">       </w:t>
            </w:r>
            <w:hyperlink w:history="true" r:id="R8b61c467b4a744a9">
              <w:r>
                <w:rPr>
                  <w:rStyle w:val="Hyperlink"/>
                  <w:color w:val="244061"/>
                </w:rPr>
                <w:t xml:space="preserve">Indigenous</w:t>
              </w:r>
            </w:hyperlink>
            <w:r>
              <w:rPr>
                <w:rStyle w:val="row-content"/>
                <w:color w:val="244061"/>
              </w:rPr>
              <w:t xml:space="preserve">, Superseded 07/12/2017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b2ddfa6ed314380">
              <w:r>
                <w:rPr>
                  <w:rStyle w:val="Hyperlink"/>
                </w:rPr>
                <w:t xml:space="preserve">Aboriginal and Torres Strait Islander standalone substance use services DSS </w:t>
              </w:r>
            </w:hyperlink>
          </w:p>
          <w:p>
            <w:pPr>
              <w:spacing w:before="0" w:after="0"/>
            </w:pPr>
            <w:r>
              <w:rPr>
                <w:rStyle w:val="row-content"/>
                <w:color w:val="244061"/>
              </w:rPr>
              <w:t xml:space="preserve">       </w:t>
            </w:r>
            <w:hyperlink w:history="true" r:id="R7b7ca394a04f457f">
              <w:r>
                <w:rPr>
                  <w:rStyle w:val="Hyperlink"/>
                  <w:color w:val="244061"/>
                </w:rPr>
                <w:t xml:space="preserve">Indigenous</w:t>
              </w:r>
            </w:hyperlink>
            <w:r>
              <w:rPr>
                <w:rStyle w:val="row-content"/>
                <w:color w:val="244061"/>
              </w:rPr>
              <w:t xml:space="preserve">, Standard 07/12/2017</w:t>
            </w:r>
          </w:p>
          <w:p>
            <w:r>
              <w:rPr>
                <w:rStyle w:val="row-content"/>
                <w:b/>
                <w:i/>
              </w:rPr>
              <w:t xml:space="preserve">Implementation start date: </w:t>
            </w:r>
            <w:r>
              <w:rPr>
                <w:rStyle w:val="row-content"/>
              </w:rPr>
              <w:t xml:space="preserve">01/07/2011</w:t>
            </w:r>
            <w:r>
              <w:br/>
            </w:r>
          </w:p>
          <w:p>
            <w:r>
              <w:rPr>
                <w:rStyle w:val="row-content"/>
                <w:b/>
                <w:i/>
              </w:rPr>
              <w:t xml:space="preserve">Implementation end date: </w:t>
            </w:r>
            <w:r>
              <w:rPr>
                <w:rStyle w:val="row-content"/>
              </w:rPr>
              <w:t xml:space="preserve">30/06/2012</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01ad3b38ec8421d">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standalone substance use service clients.</w:t>
                  </w:r>
                </w:p>
                <w:p>
                  <w:r>
                    <w:t xml:space="preserve">In the Indigenous status data element, codes 1 (Aboriginal but not Torres Strait Islander origin), 2 (Torres Strait Islander but not Aboriginal origin) and 3 (Both Aboriginal and Torres Strait Islander origin) are aggregated to Aboriginal or Torres Strait Islander,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ed1456ec3604b49">
                    <w:r>
                      <w:rPr>
                        <w:rStyle w:val="Hyperlink"/>
                      </w:rPr>
                      <w:t xml:space="preserve">Person—sex, code N</w:t>
                    </w:r>
                  </w:hyperlink>
                </w:p>
                <w:p>
                  <w:r>
                    <w:rPr>
                      <w:b/>
                      <w:i/>
                      <w:color w:val="333333"/>
                    </w:rPr>
                    <w:t xml:space="preserve">DSS specific information:</w:t>
                  </w:r>
                </w:p>
                <w:p>
                  <w:r>
                    <w:t xml:space="preserve">This data element is used to determine the sex of the Aboriginal and Torres Strait Islander standalone substance use service's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17d878be7a84aad">
                    <w:r>
                      <w:rPr>
                        <w:rStyle w:val="Hyperlink"/>
                      </w:rPr>
                      <w:t xml:space="preserve">Service provider organisation—number of clients, total people N[NNNN]</w:t>
                    </w:r>
                  </w:hyperlink>
                </w:p>
                <w:p>
                  <w:r>
                    <w:rPr>
                      <w:b/>
                      <w:i/>
                      <w:color w:val="333333"/>
                    </w:rPr>
                    <w:t xml:space="preserve">DSS specific information:</w:t>
                  </w:r>
                </w:p>
                <w:p>
                  <w:r>
                    <w:t xml:space="preserve">This data element refers to the number of Aboriginal and Torres Strait Islander standalone substance use service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e6fe2ada8d5540d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677077</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45baaf1951a4cd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6fe2ada8d5540d7" /><Relationship Type="http://schemas.openxmlformats.org/officeDocument/2006/relationships/header" Target="/word/header1.xml" Id="R17983c5ab85b4edc" /><Relationship Type="http://schemas.openxmlformats.org/officeDocument/2006/relationships/settings" Target="/word/settings.xml" Id="R7177f7d5162a4d50" /><Relationship Type="http://schemas.openxmlformats.org/officeDocument/2006/relationships/styles" Target="/word/styles.xml" Id="Rd932b79c41064990" /><Relationship Type="http://schemas.openxmlformats.org/officeDocument/2006/relationships/hyperlink" Target="https://meteor.aihw.gov.au/RegistrationAuthority/6" TargetMode="External" Id="R630a5ffbf0174078" /><Relationship Type="http://schemas.openxmlformats.org/officeDocument/2006/relationships/numbering" Target="/word/numbering.xml" Id="Reb1705467809457a" /><Relationship Type="http://schemas.openxmlformats.org/officeDocument/2006/relationships/hyperlink" Target="https://meteor.aihw.gov.au/content/568225" TargetMode="External" Id="R225386520983429b" /><Relationship Type="http://schemas.openxmlformats.org/officeDocument/2006/relationships/hyperlink" Target="https://meteor.aihw.gov.au/RegistrationAuthority/6" TargetMode="External" Id="R8b61c467b4a744a9" /><Relationship Type="http://schemas.openxmlformats.org/officeDocument/2006/relationships/hyperlink" Target="https://meteor.aihw.gov.au/content/664879" TargetMode="External" Id="R0b2ddfa6ed314380" /><Relationship Type="http://schemas.openxmlformats.org/officeDocument/2006/relationships/hyperlink" Target="https://meteor.aihw.gov.au/RegistrationAuthority/6" TargetMode="External" Id="R7b7ca394a04f457f" /><Relationship Type="http://schemas.openxmlformats.org/officeDocument/2006/relationships/hyperlink" Target="https://meteor.aihw.gov.au/content/291036" TargetMode="External" Id="R501ad3b38ec8421d" /><Relationship Type="http://schemas.openxmlformats.org/officeDocument/2006/relationships/hyperlink" Target="https://meteor.aihw.gov.au/content/287316" TargetMode="External" Id="Rbed1456ec3604b49" /><Relationship Type="http://schemas.openxmlformats.org/officeDocument/2006/relationships/hyperlink" Target="https://meteor.aihw.gov.au/content/321271" TargetMode="External" Id="R617d878be7a84aad" /></Relationships>
</file>

<file path=word/_rels/header1.xml.rels>&#65279;<?xml version="1.0" encoding="utf-8"?><Relationships xmlns="http://schemas.openxmlformats.org/package/2006/relationships"><Relationship Type="http://schemas.openxmlformats.org/officeDocument/2006/relationships/image" Target="/media/image.png" Id="Re45baaf1951a4cd5" /></Relationships>
</file>