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852f815de24d6f"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2015–16—Data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485fc660c44c2">
              <w:r>
                <w:rPr>
                  <w:rStyle w:val="Hyperlink"/>
                  <w:color w:val="244061"/>
                </w:rPr>
                <w:t xml:space="preserve">AIHW Data Quality Statements</w:t>
              </w:r>
            </w:hyperlink>
            <w:r>
              <w:rPr>
                <w:rStyle w:val="row-content"/>
                <w:color w:val="244061"/>
              </w:rPr>
              <w:t xml:space="preserve">, Superseded 20/04/2018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All in-scope service agencies are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Data from 2006–07 have been included in the 2015–16 annual report, for presenting 10 year trend analyses.</w:t>
            </w:r>
          </w:p>
          <w:p>
            <w:pPr>
              <w:pStyle w:val="ListParagraph"/>
              <w:numPr>
                <w:ilvl w:val="0"/>
                <w:numId w:val="2"/>
              </w:numPr>
            </w:pPr>
            <w:r>
              <w:rPr>
                <w:rStyle w:val="row-content-rich-text"/>
              </w:rPr>
              <w:t xml:space="preserve">The AODTS NMDS reports both main and additional treatment types. Victoria and Western Australia do not differentiate between main and other</w:t>
            </w:r>
            <w:r>
              <w:rPr>
                <w:rStyle w:val="row-content-rich-text"/>
              </w:rPr>
              <w:t xml:space="preserve">treatment types. This needs to be taken into account when comparing episodes from these states with other states and territories.</w:t>
            </w:r>
          </w:p>
          <w:p>
            <w:pPr>
              <w:pStyle w:val="ListParagraph"/>
              <w:numPr>
                <w:ilvl w:val="0"/>
                <w:numId w:val="2"/>
              </w:numPr>
            </w:pPr>
            <w:r>
              <w:rPr>
                <w:rStyle w:val="row-content-rich-text"/>
              </w:rPr>
              <w:t xml:space="preserve">In 2012–13, the AODTS NMDS implemented a statistical linkage key (SLK) for the first time. This linkage key enables the number of clients receiving treatment to be counted. As SLKs may not be available for all treatment episodes imputation is used to estimate the number of individuals in 2012–13, 2013–14 and 2015–16.The rate of invalid SLKs decreased from 12% in 2012–13 to 4% in 2013–14; in 2014–15 no imputation was required. Imputation was however applied to the 2015–16 data, due to a lower response rate for NSW (91%). This imputation should be taken into consideration when comparing the 2015–16 data with 2014–15 data. Further information about the imputation methodology applied to these data can be found online as part of the release of the Alcohol and other drug treatment services in Australia 2015–16 report.</w:t>
            </w:r>
          </w:p>
          <w:p>
            <w:pPr>
              <w:spacing w:after="160"/>
            </w:pPr>
            <w:r>
              <w:rPr>
                <w:rStyle w:val="row-content-rich-text"/>
              </w:rPr>
              <w:t xml:space="preserve"> </w:t>
            </w:r>
          </w:p>
          <w:p>
            <w:pPr>
              <w:spacing w:after="160"/>
            </w:pPr>
            <w:r>
              <w:rPr>
                <w:rStyle w:val="row-content-rich-text"/>
                <w:b/>
              </w:rPr>
              <w:t xml:space="preserve"> Description </w:t>
            </w:r>
          </w:p>
          <w:p>
            <w:pPr>
              <w:spacing w:after="160"/>
            </w:pPr>
            <w:r>
              <w:rPr>
                <w:rStyle w:val="row-content-rich-text"/>
              </w:rPr>
              <w:t xml:space="preserve">The Australian Institute of Health and Welfare (AIHW) collects AODTS NMDS data annually on closed episodes of treatment provided to clients of alcohol and other drug treatment services,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2015 to 30 June 2016.</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such as state/territory health authority, contracted AOD organisation or the AIHW. Agencies are responsible for ensuring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8352a7c6f424c55">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by alcohol and other drug treatment services on an annual basis. The most recent collection is for the reference period 1 July 2015 to 30 June 2016.</w:t>
            </w:r>
          </w:p>
          <w:p>
            <w:pPr>
              <w:spacing w:after="160"/>
            </w:pPr>
            <w:r>
              <w:rPr>
                <w:rStyle w:val="row-content-rich-text"/>
              </w:rPr>
              <w:t xml:space="preserve">The state and territory health departments and Department of Health funded Non-Government Organisation Treatment Grant Program (NGOTGP) agencies to provide data to the AIHW using the AIHW’s online data validation tool (Validata). For the 2015–16 collection, data were due for submission through the Validata at the end of November 2016 with final approval of all data due at the end of December 2016. The 2015–16 national dataset was finalised by 16 January 2017, one day after the scheduled date.</w:t>
            </w:r>
          </w:p>
          <w:p>
            <w:pPr/>
            <w:r>
              <w:rPr>
                <w:rStyle w:val="row-content-rich-text"/>
              </w:rPr>
              <w:t xml:space="preserve">The first release of data for the 2015–16 reference period was published on 20 April 2017, with the Annual Report scheduled for release 15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Reports incorporating AODTS NMDS data, including the annual Alcohol and other drug treatment services in Australia reports, are available on the AIHW website </w:t>
            </w:r>
            <w:hyperlink w:history="true" r:id="R3395d1b3eefe4f91">
              <w:r>
                <w:rPr>
                  <w:rStyle w:val="Hyperlink"/>
                </w:rPr>
                <w:t xml:space="preserve">http://www.aihw.gov.au/publications/</w:t>
              </w:r>
            </w:hyperlink>
            <w:r>
              <w:rPr>
                <w:rStyle w:val="row-content-rich-text"/>
              </w:rPr>
              <w:t xml:space="preserve">. Requests for unpublished data can be made by contacting the AIHW on (02) 6244 1000, by email to </w:t>
            </w:r>
            <w:hyperlink w:history="true" r:id="Raaac507404b0449c">
              <w:r>
                <w:rPr>
                  <w:rStyle w:val="Hyperlink"/>
                </w:rPr>
                <w:t xml:space="preserve">info@aihw.gov.au</w:t>
              </w:r>
            </w:hyperlink>
            <w:r>
              <w:rPr>
                <w:rStyle w:val="row-content-rich-text"/>
              </w:rPr>
              <w:t xml:space="preserve">  or through AIHW’s custom data request service at </w:t>
            </w:r>
            <w:hyperlink w:history="true" r:id="R2d7358e1043445a2">
              <w:r>
                <w:rPr>
                  <w:rStyle w:val="Hyperlink"/>
                </w:rPr>
                <w:t xml:space="preserve">www.aihw.gov.au/custom-data-request-service</w:t>
              </w:r>
            </w:hyperlink>
            <w:r>
              <w:rPr>
                <w:rStyle w:val="row-content-rich-text"/>
              </w:rPr>
              <w:t xml:space="preserve">. 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Contextual information on the alcohol and other drug treatment sector is available in the annual Alcohol and other drug treatment services in Australia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87661d71ec734194">
                    <w:r>
                      <w:rPr>
                        <w:rStyle w:val="Hyperlink"/>
                      </w:rPr>
                      <w:t xml:space="preserve">/content/index.phtml/itemId/583090</w:t>
                    </w:r>
                  </w:hyperlink>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 Data collected are for the financial year 2015–16.</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w:t>
            </w:r>
          </w:p>
          <w:p>
            <w:pPr>
              <w:spacing w:after="160"/>
            </w:pPr>
            <w:r>
              <w:rPr>
                <w:rStyle w:val="row-content-rich-text"/>
              </w:rPr>
              <w:t xml:space="preserve">The number of agencies reporting to the AODTS NMDS decreased from 843 in 2014–15 to 796 in 2015–16. Jurisdictions were requested to provide information on the coverage of in–scope agencies in the data information document that accompanied their data submission. Based on the information supplied, approximately 91% of in–scope agencies nationally submitted data to the collection. There was a large decrease in the number of in–scope agencies that reported for New South Wales in 2015–16 (–11.5%) due to system errors.  </w:t>
            </w:r>
          </w:p>
          <w:p>
            <w:pPr>
              <w:spacing w:after="160"/>
            </w:pPr>
            <w:r>
              <w:rPr>
                <w:rStyle w:val="row-content-rich-text"/>
              </w:rPr>
              <w:t xml:space="preserve">Tasmania however had a significant increase (9.4%) due to three agencies reporting in the 2015–16 collection that were unable to report data for 2014–15 because of resource constraints.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 (information about pharmacotherapy treatment alone is out of scope for the AODTS NMDS and is collected in the NOPSAD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rPr>
              <w:t xml:space="preserve"> </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r>
              <w:rPr>
                <w:rStyle w:val="row-content-rich-text"/>
              </w:rPr>
              <w:t xml:space="preserve">The SLK is constructed from information about the client's date of birth, sex and an alpha code based on selected letters of their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The number of closed treatment episodes decreased from 170,367 in 2014–15 to 206,635 in 2015–16. South Australia reported an overall decrease of approximately 751 treatment episodes between 2014–15 and 2015–16. All other states and territories saw an increase in treatment episodes.</w:t>
            </w:r>
          </w:p>
          <w:p>
            <w:pPr>
              <w:spacing w:after="160"/>
            </w:pPr>
            <w:r>
              <w:rPr>
                <w:rStyle w:val="row-content-rich-text"/>
              </w:rPr>
              <w:t xml:space="preserve">Approximately 91% of in-scope treatment services submitted data to the AODTS NMDS in 2015–16. Four jurisdictions submitted 100% of in-scope treatment services except for New South Wales (80.6%), Victoria (94.9%), Queensland (99.3%) and Tasmania (90.3%). In NSW, 68 in-scope agencies did not report due to some NSW agencies being unable to provide name components of the SLK which in turn impacted the number of valid SLKs and overall quality of SLK data. NSW did however have an overall increase of 9,759 closed episodes for 2015–16.</w:t>
            </w:r>
          </w:p>
          <w:p>
            <w:pPr>
              <w:spacing w:after="160"/>
            </w:pPr>
            <w:r>
              <w:rPr>
                <w:rStyle w:val="row-content-rich-text"/>
              </w:rPr>
              <w:t xml:space="preserve"> </w:t>
            </w:r>
          </w:p>
          <w:p>
            <w:pPr>
              <w:spacing w:after="160"/>
            </w:pPr>
            <w:r>
              <w:rPr>
                <w:rStyle w:val="row-content-rich-text"/>
              </w:rPr>
              <w:t xml:space="preserve">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2015–16 is good. For most data elements, less than 5% of records have missing data (including not stated or unknown responses) while less than 1% of records have an invalid SLK. Around 5% of records have an unknown Indigenous status. Of the records relating to episodes provided to clients receiving treatment for their own drug use, reason for cessation is not available for 7%, method of drug use is not available for 9% and injecting drug use status is not available for 15%.</w:t>
            </w:r>
          </w:p>
          <w:p>
            <w:pPr>
              <w:spacing w:after="160"/>
            </w:pPr>
            <w:r>
              <w:rPr>
                <w:rStyle w:val="row-content-rich-text"/>
              </w:rPr>
              <w:t xml:space="preserve"> Not stated/unknown responses for data items, nationally, 2013–14 to 2015–16 (per cent)</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Data item</w:t>
                  </w:r>
                </w:p>
              </w:tc>
              <w:tc>
                <w:tcPr>
                  <w:tcW w:w="800" w:type="pct"/>
                  <w:vAlign w:val="top"/>
                </w:tcPr>
                <w:p>
                  <w:r>
                    <w:t xml:space="preserve">2013–14</w:t>
                  </w:r>
                </w:p>
              </w:tc>
              <w:tc>
                <w:tcPr>
                  <w:tcW w:w="800" w:type="pct"/>
                  <w:vAlign w:val="top"/>
                </w:tcPr>
                <w:p>
                  <w:r>
                    <w:t xml:space="preserve">2014–15</w:t>
                  </w:r>
                </w:p>
              </w:tc>
              <w:tc>
                <w:tcPr>
                  <w:tcW w:w="850" w:type="pct"/>
                  <w:vAlign w:val="top"/>
                </w:tcPr>
                <w:p>
                  <w:r>
                    <w:t xml:space="preserve">2015–16</w:t>
                  </w:r>
                </w:p>
              </w:tc>
            </w:tr>
            <w:tr>
              <w:trPr/>
              <w:tc>
                <w:tcPr>
                  <w:tcW w:w="2500" w:type="pct"/>
                  <w:vAlign w:val="top"/>
                </w:tcPr>
                <w:p>
                  <w: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1.9</w:t>
                  </w:r>
                </w:p>
              </w:tc>
              <w:tc>
                <w:tcPr>
                  <w:tcW w:w="800" w:type="pct"/>
                  <w:vAlign w:val="top"/>
                </w:tcPr>
                <w:p>
                  <w:r>
                    <w:t xml:space="preserve">1.5</w:t>
                  </w:r>
                </w:p>
              </w:tc>
              <w:tc>
                <w:tcPr>
                  <w:tcW w:w="850" w:type="pct"/>
                  <w:vAlign w:val="top"/>
                </w:tcPr>
                <w:p>
                  <w:r>
                    <w:t xml:space="preserve">1.5</w:t>
                  </w:r>
                </w:p>
              </w:tc>
            </w:tr>
            <w:tr>
              <w:trPr/>
              <w:tc>
                <w:tcPr>
                  <w:tcW w:w="2500" w:type="pct"/>
                  <w:vAlign w:val="top"/>
                </w:tcPr>
                <w:p>
                  <w:r>
                    <w:t xml:space="preserve">Date of birth/age</w:t>
                  </w:r>
                </w:p>
              </w:tc>
              <w:tc>
                <w:tcPr>
                  <w:tcW w:w="800" w:type="pct"/>
                  <w:vAlign w:val="top"/>
                </w:tcPr>
                <w:p>
                  <w:r>
                    <w:t xml:space="preserve">0.0</w:t>
                  </w:r>
                </w:p>
              </w:tc>
              <w:tc>
                <w:tcPr>
                  <w:tcW w:w="800" w:type="pct"/>
                  <w:vAlign w:val="top"/>
                </w:tcPr>
                <w:p>
                  <w:r>
                    <w:t xml:space="preserve">0.0</w:t>
                  </w:r>
                </w:p>
              </w:tc>
              <w:tc>
                <w:tcPr>
                  <w:tcW w:w="850" w:type="pct"/>
                  <w:vAlign w:val="top"/>
                </w:tcPr>
                <w:p>
                  <w:r>
                    <w:t xml:space="preserve">0.1</w:t>
                  </w:r>
                </w:p>
              </w:tc>
            </w:tr>
            <w:tr>
              <w:trPr/>
              <w:tc>
                <w:tcPr>
                  <w:tcW w:w="2500" w:type="pct"/>
                  <w:vAlign w:val="top"/>
                </w:tcPr>
                <w:p>
                  <w:r>
                    <w:t xml:space="preserve">Indigenous status</w:t>
                  </w:r>
                </w:p>
              </w:tc>
              <w:tc>
                <w:tcPr>
                  <w:tcW w:w="800" w:type="pct"/>
                  <w:vAlign w:val="top"/>
                </w:tcPr>
                <w:p>
                  <w:r>
                    <w:t xml:space="preserve">5.4</w:t>
                  </w:r>
                </w:p>
              </w:tc>
              <w:tc>
                <w:tcPr>
                  <w:tcW w:w="800" w:type="pct"/>
                  <w:vAlign w:val="top"/>
                </w:tcPr>
                <w:p>
                  <w:r>
                    <w:t xml:space="preserve">5.8</w:t>
                  </w:r>
                </w:p>
              </w:tc>
              <w:tc>
                <w:tcPr>
                  <w:tcW w:w="850" w:type="pct"/>
                  <w:vAlign w:val="top"/>
                </w:tcPr>
                <w:p>
                  <w:r>
                    <w:t xml:space="preserve">4.8</w:t>
                  </w:r>
                </w:p>
              </w:tc>
            </w:tr>
            <w:tr>
              <w:trPr/>
              <w:tc>
                <w:tcPr>
                  <w:tcW w:w="2500" w:type="pct"/>
                  <w:vAlign w:val="top"/>
                </w:tcPr>
                <w:p>
                  <w:r>
                    <w:t xml:space="preserve">Preferred language</w:t>
                  </w:r>
                </w:p>
              </w:tc>
              <w:tc>
                <w:tcPr>
                  <w:tcW w:w="800" w:type="pct"/>
                  <w:vAlign w:val="top"/>
                </w:tcPr>
                <w:p>
                  <w:r>
                    <w:t xml:space="preserve">2.1</w:t>
                  </w:r>
                </w:p>
              </w:tc>
              <w:tc>
                <w:tcPr>
                  <w:tcW w:w="800" w:type="pct"/>
                  <w:vAlign w:val="top"/>
                </w:tcPr>
                <w:p>
                  <w:r>
                    <w:t xml:space="preserve">2.1</w:t>
                  </w:r>
                </w:p>
              </w:tc>
              <w:tc>
                <w:tcPr>
                  <w:tcW w:w="850" w:type="pct"/>
                  <w:vAlign w:val="top"/>
                </w:tcPr>
                <w:p>
                  <w:r>
                    <w:t xml:space="preserve">5.3</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1.3</w:t>
                  </w:r>
                </w:p>
              </w:tc>
              <w:tc>
                <w:tcPr>
                  <w:tcW w:w="800" w:type="pct"/>
                  <w:vAlign w:val="top"/>
                </w:tcPr>
                <w:p>
                  <w:r>
                    <w:t xml:space="preserve">1.5</w:t>
                  </w:r>
                </w:p>
              </w:tc>
              <w:tc>
                <w:tcPr>
                  <w:tcW w:w="850" w:type="pct"/>
                  <w:vAlign w:val="top"/>
                </w:tcPr>
                <w:p>
                  <w:r>
                    <w:t xml:space="preserve">2.0</w:t>
                  </w:r>
                </w:p>
              </w:tc>
            </w:tr>
            <w:tr>
              <w:trPr/>
              <w:tc>
                <w:tcPr>
                  <w:tcW w:w="2500" w:type="pct"/>
                  <w:vAlign w:val="top"/>
                </w:tcPr>
                <w:p>
                  <w: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15.4</w:t>
                  </w:r>
                </w:p>
              </w:tc>
              <w:tc>
                <w:tcPr>
                  <w:tcW w:w="800" w:type="pct"/>
                  <w:vAlign w:val="top"/>
                </w:tcPr>
                <w:p>
                  <w:r>
                    <w:t xml:space="preserve">15.4</w:t>
                  </w:r>
                </w:p>
              </w:tc>
              <w:tc>
                <w:tcPr>
                  <w:tcW w:w="850" w:type="pct"/>
                  <w:vAlign w:val="top"/>
                </w:tcPr>
                <w:p>
                  <w:r>
                    <w:t xml:space="preserve">16.1</w:t>
                  </w:r>
                </w:p>
              </w:tc>
            </w:tr>
            <w:tr>
              <w:trPr/>
              <w:tc>
                <w:tcPr>
                  <w:tcW w:w="2500" w:type="pct"/>
                  <w:vAlign w:val="top"/>
                </w:tcPr>
                <w:p>
                  <w:r>
                    <w:t xml:space="preserve">Method of use*</w:t>
                  </w:r>
                </w:p>
              </w:tc>
              <w:tc>
                <w:tcPr>
                  <w:tcW w:w="800" w:type="pct"/>
                  <w:vAlign w:val="top"/>
                </w:tcPr>
                <w:p>
                  <w:r>
                    <w:t xml:space="preserve">7.6</w:t>
                  </w:r>
                </w:p>
              </w:tc>
              <w:tc>
                <w:tcPr>
                  <w:tcW w:w="800" w:type="pct"/>
                  <w:vAlign w:val="top"/>
                </w:tcPr>
                <w:p>
                  <w:r>
                    <w:t xml:space="preserve">7.4</w:t>
                  </w:r>
                </w:p>
              </w:tc>
              <w:tc>
                <w:tcPr>
                  <w:tcW w:w="850" w:type="pct"/>
                  <w:vAlign w:val="top"/>
                </w:tcPr>
                <w:p>
                  <w:r>
                    <w:t xml:space="preserve">8.7</w:t>
                  </w:r>
                </w:p>
              </w:tc>
            </w:tr>
            <w:tr>
              <w:trPr/>
              <w:tc>
                <w:tcPr>
                  <w:tcW w:w="2500" w:type="pct"/>
                  <w:vAlign w:val="top"/>
                </w:tcPr>
                <w:p>
                  <w: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4.0</w:t>
                  </w:r>
                </w:p>
              </w:tc>
              <w:tc>
                <w:tcPr>
                  <w:tcW w:w="800" w:type="pct"/>
                  <w:vAlign w:val="top"/>
                </w:tcPr>
                <w:p>
                  <w:r>
                    <w:t xml:space="preserve">4.4</w:t>
                  </w:r>
                </w:p>
              </w:tc>
              <w:tc>
                <w:tcPr>
                  <w:tcW w:w="850" w:type="pct"/>
                  <w:vAlign w:val="top"/>
                </w:tcPr>
                <w:p>
                  <w:r>
                    <w:t xml:space="preserve">7.3</w:t>
                  </w:r>
                </w:p>
              </w:tc>
            </w:tr>
            <w:tr>
              <w:trPr/>
              <w:tc>
                <w:tcPr>
                  <w:tcW w:w="2500" w:type="pct"/>
                  <w:vAlign w:val="top"/>
                </w:tcPr>
                <w:p>
                  <w:r>
                    <w:t xml:space="preserve">(mandatory)Treatment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w:t>
            </w:r>
          </w:p>
          <w:p>
            <w:r>
              <w:t xml:space="preserve"> </w:t>
            </w:r>
          </w:p>
          <w:p>
            <w:r>
              <w:t xml:space="preserve">Not all jurisdictions code drug of concern using the full Australian Standard Classification of Drugs of Concern 2011 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2015–16 approximately 3% of records had a missing postcode, ranging from zero in Western Australia to 9% in New South Wales.</w:t>
            </w:r>
          </w:p>
          <w:p>
            <w:r>
              <w:rPr>
                <w:b/>
                <w:u w:val="single"/>
              </w:rPr>
              <w:t xml:space="preserve">State and territory issues:</w:t>
            </w:r>
          </w:p>
          <w:p>
            <w:r>
              <w:rPr>
                <w:b/>
              </w:rPr>
              <w:t xml:space="preserve">New South Wales</w:t>
            </w:r>
          </w:p>
          <w:p>
            <w:r>
              <w:t xml:space="preserve">New South Wales Health collects data from all Australian Government/ state government-funded agencies as part of requirements stipulated in a signed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from which the collection of the AODTS NMDS is provided to the AIHW. New South Wales has developed a Drug and Alcohol State Baseline Build Information System for use by government agencies. During the 2014–15 collection cycle, a number of NSW Local Health Districts migrated to this system.</w:t>
            </w:r>
          </w:p>
          <w:p>
            <w:r>
              <w:t xml:space="preserve">This process began in 2014–15 and will continue until the first half of 2016–17 for most agencies. Agencies are moving from one or a number of legacy systems. There has been difficulty reporting data due to the ongoing development and testing of extracts. Therefore the data for NSW has been under reported for 2015–16. It is expected that the problems will continue for the remainder of 2016 but the extracting and reporting of data will improve. Note that not all of New South Wales government agencies and LHDs will migrate to the new system. The majority of NGO data are collected via the NADA (Network of Alcohol and other Drug Agencies) online system. NADA is the peak organisation for the non-government drug and alcohol sector in New South Wales.</w:t>
            </w:r>
          </w:p>
          <w:p>
            <w:r>
              <w:t xml:space="preserve"> </w:t>
            </w:r>
          </w:p>
          <w:p>
            <w:r>
              <w:rPr>
                <w:b/>
              </w:rPr>
              <w:t xml:space="preserve">Victoria</w:t>
            </w:r>
          </w:p>
          <w:p>
            <w:r>
              <w:t xml:space="preserve">Adult focussed Alcohol and other drug treatment was re-commissioned in late 2014 and is now delivered through a number of treatment streams within catchment areas. These treatment streams include intake, counselling, withdrawal, rehabilitation and pharmacotherapy. These treatment streams are also supported by a separate planning function, led by a funded service provider in each catchment.</w:t>
            </w:r>
          </w:p>
          <w:p>
            <w:r>
              <w:t xml:space="preserve">The key deliverable for the re-commissioned activity in Victoria is the Drug Treatment Activity Unit (DTAU), based on the number of closed Courses of Treatment.</w:t>
            </w:r>
          </w:p>
          <w:p>
            <w:r>
              <w:t xml:space="preserve">For the remaining services the deliverable remains the Episode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and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t xml:space="preserve">A number of larger service providers have implemented their own in-house Client Management Systems thus lessening their dependence on the legacy FULLADIS information systems. Hospitals and community health centres however continued to use HealthSMART client management system to report on alcohol and other drug treatment activity. As a result there have been some data integrity issues arising as new systems are being adopted by service providers.</w:t>
            </w:r>
          </w:p>
          <w:p>
            <w:r>
              <w:t xml:space="preserve">While continuing correction and re-submission of historic data by service providers partly addresses data integrity issues, the adoption of 'Extensible Markup Language' with data validation via 'XML Schema Definition' as part of the requirements of new 'Victorian Alcohol and other Drug Collection' (VADC) is expected to improve data quality substantially.</w:t>
            </w:r>
          </w:p>
          <w:p>
            <w:r>
              <w:t xml:space="preserve"> </w:t>
            </w:r>
          </w:p>
          <w:p>
            <w:r>
              <w:rPr>
                <w:b/>
              </w:rPr>
              <w:t xml:space="preserve">Queensland  </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 ceasing drug use and harm minimisation, motivational intervention, provision of resources and referral.</w:t>
            </w:r>
          </w:p>
          <w:p>
            <w:r>
              <w:t xml:space="preserve">In Queensland, nicotine appears as the fourth ranked PDOC as Smoking cessation therapy is an endorsed model of service in Queensland public AOD services.</w:t>
            </w:r>
          </w:p>
          <w:p>
            <w:r>
              <w:t xml:space="preserve">Information system implementation issues with the collection and reporting of the Accommodation Type data element impacted on the data quality for this item in 2015–16.</w:t>
            </w:r>
          </w:p>
          <w:p>
            <w:r>
              <w:t xml:space="preserve"> </w:t>
            </w:r>
          </w:p>
          <w:p>
            <w:r>
              <w:rPr>
                <w:b/>
              </w:rPr>
              <w:t xml:space="preserve">Western Australia </w:t>
            </w:r>
          </w:p>
          <w:p>
            <w:r>
              <w:t xml:space="preserve">Data are provided by both government and non–government sectors. Non–government services were contracted by the Drug and Alcohol Office (DAO), now named the Mental Health Commission, to provide alcohol and other drug services. They have contractual obligations to incorporate the data elements of the AODTS NMDS in their collections. They are also obliged to provide data in a regular and timely manner to DAO. These data items are collated and checked by DAO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r>
              <w:t xml:space="preserve"> </w:t>
            </w:r>
          </w:p>
          <w:p>
            <w:r>
              <w:rPr>
                <w:b/>
              </w:rPr>
              <w:t xml:space="preserve"> South Australia </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r>
              <w:t xml:space="preserve">In 2015–16, 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t xml:space="preserve"> </w:t>
            </w:r>
          </w:p>
          <w:p>
            <w:r>
              <w:t xml:space="preserve"> </w:t>
            </w:r>
          </w:p>
          <w:p>
            <w:r>
              <w:t xml:space="preserve"> </w:t>
            </w:r>
            <w:r>
              <w:rPr>
                <w:b/>
              </w:rPr>
              <w:t xml:space="preserve">Tasmania</w:t>
            </w:r>
          </w:p>
          <w:p>
            <w: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 or information on data capture practices are provided as required.</w:t>
            </w:r>
          </w:p>
          <w:p>
            <w:r>
              <w:t xml:space="preserve"> </w:t>
            </w:r>
          </w:p>
          <w:p>
            <w:r>
              <w:rPr>
                <w:b/>
              </w:rPr>
              <w:t xml:space="preserve"> Australian Capital Territory </w:t>
            </w:r>
          </w:p>
          <w:p>
            <w:r>
              <w:t xml:space="preserve">Australian Capital Territory alcohol and other drug treatment service providers supply ACT Health with their complete data collection for the AODTS NMDS by 31 August each financial year. The services provide a standardised reporting system to enhance uniformity and reliability of data.</w:t>
            </w:r>
          </w:p>
          <w:p>
            <w:r>
              <w:t xml:space="preserve"> </w:t>
            </w:r>
          </w:p>
          <w:p>
            <w:r>
              <w:rPr>
                <w:b/>
              </w:rPr>
              <w:t xml:space="preserve"> Northern Territory </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r>
              <w:t xml:space="preserve"> </w:t>
            </w:r>
          </w:p>
          <w:p>
            <w:r>
              <w:rPr>
                <w:b/>
              </w:rPr>
              <w:t xml:space="preserve">Australian Government Department of Health (DoH) </w:t>
            </w:r>
          </w:p>
          <w:p>
            <w: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the Department of Health.</w:t>
            </w:r>
          </w:p>
          <w:p>
            <w:r>
              <w:t xml:space="preserve">Reported numbers for each state and territory in the AODTS NMDS annual report include services provided under the National Illicit Drug Strategy, NGOTGP.</w:t>
            </w:r>
          </w:p>
          <w:p>
            <w:r>
              <w:t xml:space="preserve">From 2012–13 onwards, the AIHW collected the data on behalf of a number of state and territory NGOTGP agencies, that were funded directly by the Commonwealth, for collation and reporting to the AODTS NMDS. The 2012–13 collection period was the first year NGOTGP data were processed by the AIHW.</w:t>
            </w:r>
          </w:p>
          <w:p>
            <w:r>
              <w:t xml:space="preserve">In 2015, the agreed Schedule between the AIHW and the DoH required the AIHW to collect NGOTGP data on behalf of the DoH. The agreement stated that the AIHW would validate, aggregate and report on standardised data annually from Australian, state and territory NGOTGP, and finalise data from the NGOTGPs for inclusion in the national AODTS NMDS.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 In 2011, the Australian Bureau of Statistics (ABS) phased out the Australian Standard Geographical Classification (ASGC) to be replaced by a new classification scheme: the Australian Statistical Geography Standard (ASGS). Also updated at this time were remoteness areas based on the 2011 ABS Census of Population and Housing. From the 2012–13 AODTS NMDS collection onwards: the new Statistical area level 2 (SA2) replaced the ASGC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Australian Standard Classification of Drug of concern,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Standard Australian Classification of Countries (SACC), 2011.</w:t>
            </w:r>
          </w:p>
          <w:p>
            <w:pPr>
              <w:spacing w:after="160"/>
            </w:pPr>
            <w:r>
              <w:rPr>
                <w:rStyle w:val="row-content-rich-text"/>
              </w:rPr>
              <w:t xml:space="preserve">Preferred language was updated for the 2012–13 collection period to use Australian Standard Classification of Languages (ASCL), 2011.</w:t>
            </w:r>
          </w:p>
          <w:p>
            <w:pPr>
              <w:spacing w:after="160"/>
            </w:pPr>
            <w:r>
              <w:rPr>
                <w:rStyle w:val="row-content-rich-text"/>
              </w:rPr>
              <w:t xml:space="preserve">The ASGS was again updated in 2016 with no effect on the 2015–16 data collection.</w:t>
            </w:r>
          </w:p>
          <w:p>
            <w:pPr>
              <w:spacing w:after="160"/>
            </w:pPr>
            <w:r>
              <w:rPr>
                <w:rStyle w:val="row-content-rich-text"/>
              </w:rPr>
              <w:t xml:space="preserve">The number of closed treatment episodes increased from 170,367 in 2014–15 to 206,635 in 2015–16.South Australia reported a decrease  of approximately 751  treatment episodes in 2015–16 but all other states and territories reported an increase between 2014–16 and 2015–16. The rate of invalid SLKs decreased from 4% in 2013–14; (in 2014–15 no imputation was required) to less than 1% in 2015–16.</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such as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Western Australia and Victoria are not directly comparable with data from other jurisdictions. This should be taken into consideration when comparing episodes from these states with those of other states and territories.</w:t>
            </w:r>
          </w:p>
          <w:p>
            <w:pPr>
              <w:spacing w:after="160"/>
            </w:pPr>
            <w:r>
              <w:rPr>
                <w:rStyle w:val="row-content-rich-text"/>
              </w:rPr>
              <w:t xml:space="preserve">Victoria and Western Australia do not differentiate between main and other treatment types. Data for Victoria and Western Australia are not directly comparable with data for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a reform in the way non-residential treatment services are provided in the Perth metropolitan area resulted in the co-location and integration of some government and non-government services. Time series data do not adequately illustrate these changes.</w:t>
            </w:r>
          </w:p>
          <w:p>
            <w:pPr>
              <w:spacing w:after="160"/>
            </w:pPr>
            <w:r>
              <w:rPr>
                <w:rStyle w:val="row-content-rich-text"/>
              </w:rPr>
              <w:t xml:space="preserve"> </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Despite variations in reporting practices between jurisdictions, there is very little difference between the proportions for principal drug of concern and all drugs of concern, for example, the top  drugs of concern remain the same in relative size and order.</w:t>
            </w:r>
          </w:p>
          <w:p>
            <w:pPr>
              <w:spacing w:after="160"/>
            </w:pPr>
            <w:r>
              <w:rPr>
                <w:rStyle w:val="row-content-rich-text"/>
              </w:rPr>
              <w:t xml:space="preserve">Data for the AODTS NMDS are available from 2001–02; however, the data specifications were significantly altered for the 2003–04 collection, causing comparability issues. As a result only data from 2006–07 are used in this report to present a 10 year trend series.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090cd4ccbe4eb1">
              <w:r>
                <w:rPr>
                  <w:rStyle w:val="Hyperlink"/>
                </w:rPr>
                <w:t xml:space="preserve">Alcohol and other drug treatment services NMDS, 2014–15; Quality Statement</w:t>
              </w:r>
            </w:hyperlink>
          </w:p>
          <w:p>
            <w:pPr>
              <w:spacing w:before="0" w:after="0"/>
            </w:pPr>
            <w:r>
              <w:rPr>
                <w:rStyle w:val="row-content"/>
                <w:color w:val="244061"/>
              </w:rPr>
              <w:t xml:space="preserve">       </w:t>
            </w:r>
            <w:hyperlink w:history="true" r:id="R31622f39497546e3">
              <w:r>
                <w:rPr>
                  <w:rStyle w:val="Hyperlink"/>
                  <w:color w:val="244061"/>
                </w:rPr>
                <w:t xml:space="preserve">AIHW Data Quality Statements</w:t>
              </w:r>
            </w:hyperlink>
            <w:r>
              <w:rPr>
                <w:rStyle w:val="row-content"/>
                <w:color w:val="244061"/>
              </w:rPr>
              <w:t xml:space="preserve">, Superseded 28/06/2017</w:t>
            </w:r>
          </w:p>
          <w:p>
            <w:r>
              <w:br/>
            </w:r>
            <w:r>
              <w:rPr>
                <w:rStyle w:val="row-content"/>
              </w:rPr>
              <w:t xml:space="preserve">Has been superseded by </w:t>
            </w:r>
            <w:hyperlink w:history="true" r:id="R336b371fd5ea41f4">
              <w:r>
                <w:rPr>
                  <w:rStyle w:val="Hyperlink"/>
                </w:rPr>
                <w:t xml:space="preserve">Alcohol and other drug treatment services NMDS, 2016–17; Quality Statement</w:t>
              </w:r>
            </w:hyperlink>
          </w:p>
          <w:p>
            <w:pPr>
              <w:spacing w:before="0" w:after="0"/>
            </w:pPr>
            <w:r>
              <w:rPr>
                <w:rStyle w:val="row-content"/>
                <w:color w:val="244061"/>
              </w:rPr>
              <w:t xml:space="preserve">       </w:t>
            </w:r>
            <w:hyperlink w:history="true" r:id="R78c48fb69a014c62">
              <w:r>
                <w:rPr>
                  <w:rStyle w:val="Hyperlink"/>
                  <w:color w:val="244061"/>
                </w:rPr>
                <w:t xml:space="preserve">AIHW Data Quality Statements</w:t>
              </w:r>
            </w:hyperlink>
            <w:r>
              <w:rPr>
                <w:rStyle w:val="row-content"/>
                <w:color w:val="244061"/>
              </w:rPr>
              <w:t xml:space="preserve">, Superseded 17/04/2019</w:t>
            </w:r>
          </w:p>
          <w:p>
            <w:r>
              <w:br/>
            </w:r>
          </w:p>
        </w:tc>
      </w:tr>
    </w:tbl>
    <w:p>
      <w:r>
        <w:br/>
      </w:r>
    </w:p>
    <w:sectPr>
      <w:footerReference xmlns:r="http://schemas.openxmlformats.org/officeDocument/2006/relationships" w:type="default" r:id="R2f2315b6d022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791a981e9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315b6d0224100" /><Relationship Type="http://schemas.openxmlformats.org/officeDocument/2006/relationships/header" Target="/word/header1.xml" Id="R71ee5645cf2547e7" /><Relationship Type="http://schemas.openxmlformats.org/officeDocument/2006/relationships/settings" Target="/word/settings.xml" Id="R92b4eb5e147345d0" /><Relationship Type="http://schemas.openxmlformats.org/officeDocument/2006/relationships/styles" Target="/word/styles.xml" Id="Rb3ce61d2039d41c0" /><Relationship Type="http://schemas.openxmlformats.org/officeDocument/2006/relationships/hyperlink" Target="https://meteor.aihw.gov.au/RegistrationAuthority/5" TargetMode="External" Id="R560485fc660c44c2" /><Relationship Type="http://schemas.openxmlformats.org/officeDocument/2006/relationships/numbering" Target="/word/numbering.xml" Id="R8df27658aa0e42ed" /><Relationship Type="http://schemas.openxmlformats.org/officeDocument/2006/relationships/hyperlink" Target="http://www.aihw.gov.au/" TargetMode="External" Id="Rb8352a7c6f424c55" /><Relationship Type="http://schemas.openxmlformats.org/officeDocument/2006/relationships/hyperlink" Target="http://www.aihw.gov.au/publications/" TargetMode="External" Id="R3395d1b3eefe4f91" /><Relationship Type="http://schemas.openxmlformats.org/officeDocument/2006/relationships/hyperlink" Target="mailto:info@aihw.gov.au" TargetMode="External" Id="Raaac507404b0449c" /><Relationship Type="http://schemas.openxmlformats.org/officeDocument/2006/relationships/hyperlink" Target="http://www.aihw.gov.au/custom-data-request-service/" TargetMode="External" Id="R2d7358e1043445a2" /><Relationship Type="http://schemas.openxmlformats.org/officeDocument/2006/relationships/hyperlink" Target="https://meteor.aihw.gov.au/content/583090" TargetMode="External" Id="R87661d71ec734194" /><Relationship Type="http://schemas.openxmlformats.org/officeDocument/2006/relationships/hyperlink" Target="https://meteor.aihw.gov.au/content/637860" TargetMode="External" Id="Rf7090cd4ccbe4eb1" /><Relationship Type="http://schemas.openxmlformats.org/officeDocument/2006/relationships/hyperlink" Target="https://meteor.aihw.gov.au/RegistrationAuthority/5" TargetMode="External" Id="R31622f39497546e3" /><Relationship Type="http://schemas.openxmlformats.org/officeDocument/2006/relationships/hyperlink" Target="https://meteor.aihw.gov.au/content/693818" TargetMode="External" Id="R336b371fd5ea41f4" /><Relationship Type="http://schemas.openxmlformats.org/officeDocument/2006/relationships/hyperlink" Target="https://meteor.aihw.gov.au/RegistrationAuthority/5" TargetMode="External" Id="R78c48fb69a014c62" /></Relationships>
</file>

<file path=word/_rels/header1.xml.rels>&#65279;<?xml version="1.0" encoding="utf-8"?><Relationships xmlns="http://schemas.openxmlformats.org/package/2006/relationships"><Relationship Type="http://schemas.openxmlformats.org/officeDocument/2006/relationships/image" Target="/media/image.png" Id="R853791a981e941ff" /></Relationships>
</file>