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829e452ae499c"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34751dc5741d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full-time-equivalent of a service or care provider's 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the analysis of the resource use and activity of health-care providers. Inclusion of these data, classified by staffing category, allows analysis of costs per unit of labour and analysis of employee inputs against establishment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922497905e49a4">
              <w:r>
                <w:rPr>
                  <w:rStyle w:val="Hyperlink"/>
                </w:rPr>
                <w:t xml:space="preserve">Service/care provider—full-time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de0002107d4bb8">
              <w:r>
                <w:rPr>
                  <w:rStyle w:val="Hyperlink"/>
                </w:rPr>
                <w:t xml:space="preserve">Full-time equivalent unit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number of hours normally worked may differ according to the type of work. The hours under the relevant award or agreement should be used if known. If the relevant award or agreement does not specify employee hours for an occupation or it is not known, or the employee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employees who are employed through an agency are included where the contract is for the supply of labour (e.g. nursing) rather than of products (e.g. provision of photocopies). If it is the former, the contract would normally specify the amount of labour supplied and could be reported as FTE units.</w:t>
            </w:r>
          </w:p>
          <w:p>
            <w:pPr>
              <w:spacing w:after="160"/>
            </w:pPr>
            <w:r>
              <w:rPr>
                <w:rStyle w:val="row-content-rich-text"/>
              </w:rPr>
              <w:t xml:space="preserve">If under the relevant award of agreement, a full-time nurse is paid for 80 (ordinary) hours per fortnight, then the FTE for a part-time nurse who works 64 hours is 0.8 (64 divided by 80). If a full-time nurse under the same award is paid for a 100 hours for that fortnight (i.e. 20 hours overtime), then the FTE is 100 divided by 80 = 1.25. This number would then be added to the FTE employee units for all other employees and the number rounded to one decimal place.</w:t>
            </w:r>
          </w:p>
          <w:p>
            <w:pPr/>
            <w:r>
              <w:rPr>
                <w:rStyle w:val="row-content-rich-text"/>
              </w:rPr>
              <w:t xml:space="preserve">Where employees provide services to more than one establishment, FTE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an absolute calculation of employee hours, but a general indication of the number of hours a provider of service or care is staffed by paid employees.</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268e7bb19641f3">
              <w:r>
                <w:rPr>
                  <w:rStyle w:val="Hyperlink"/>
                </w:rPr>
                <w:t xml:space="preserve">Aboriginal and Torres Strait Islander service staff vacancy cluster</w:t>
              </w:r>
            </w:hyperlink>
          </w:p>
          <w:p>
            <w:pPr>
              <w:spacing w:before="0" w:after="0"/>
            </w:pPr>
            <w:r>
              <w:rPr>
                <w:rStyle w:val="row-content"/>
                <w:color w:val="244061"/>
              </w:rPr>
              <w:t xml:space="preserve">       </w:t>
            </w:r>
            <w:hyperlink w:history="true" r:id="Rf461e4e56f2b490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38cd64918e8048da">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60bc9f056b87487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full-time equivalent (FTE) units for a BTH or Link Up Counsellor.</w:t>
            </w:r>
          </w:p>
          <w:p>
            <w:r>
              <w:rPr>
                <w:rStyle w:val="row-content"/>
              </w:rPr>
              <w:t xml:space="preserve">If the position is half-time it is assigned an FTE of 0.5; if full-time it is assigned an FTE of 1.</w:t>
            </w:r>
          </w:p>
          <w:p>
            <w:r>
              <w:br/>
            </w:r>
            <w:r>
              <w:br/>
            </w:r>
          </w:p>
        </w:tc>
      </w:tr>
    </w:tbl>
    <w:p/>
    <w:tbl>
      <w:tblPr>
        <w:tblStyle w:val="TableGrid"/>
        <w:tblW w:w="0" w:type="auto"/>
      </w:tblPr>
    </w:tbl>
    <w:p>
      <w:r>
        <w:br/>
      </w:r>
    </w:p>
    <w:sectPr>
      <w:footerReference xmlns:r="http://schemas.openxmlformats.org/officeDocument/2006/relationships" w:type="default" r:id="R78ed7d7de372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85a7d44bdc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d7d7de372473a" /><Relationship Type="http://schemas.openxmlformats.org/officeDocument/2006/relationships/header" Target="/word/header1.xml" Id="R8b19ae773c5e4db3" /><Relationship Type="http://schemas.openxmlformats.org/officeDocument/2006/relationships/settings" Target="/word/settings.xml" Id="Rdc98044837954897" /><Relationship Type="http://schemas.openxmlformats.org/officeDocument/2006/relationships/styles" Target="/word/styles.xml" Id="R1120363fb9c5416c" /><Relationship Type="http://schemas.openxmlformats.org/officeDocument/2006/relationships/hyperlink" Target="https://meteor.aihw.gov.au/RegistrationAuthority/6" TargetMode="External" Id="Re1534751dc5741d2" /><Relationship Type="http://schemas.openxmlformats.org/officeDocument/2006/relationships/hyperlink" Target="https://meteor.aihw.gov.au/content/666330" TargetMode="External" Id="R23922497905e49a4" /><Relationship Type="http://schemas.openxmlformats.org/officeDocument/2006/relationships/hyperlink" Target="https://meteor.aihw.gov.au/content/666267" TargetMode="External" Id="R36de0002107d4bb8" /><Relationship Type="http://schemas.openxmlformats.org/officeDocument/2006/relationships/hyperlink" Target="https://meteor.aihw.gov.au/content/677181" TargetMode="External" Id="R91268e7bb19641f3" /><Relationship Type="http://schemas.openxmlformats.org/officeDocument/2006/relationships/hyperlink" Target="https://meteor.aihw.gov.au/RegistrationAuthority/6" TargetMode="External" Id="Rf461e4e56f2b4905" /><Relationship Type="http://schemas.openxmlformats.org/officeDocument/2006/relationships/hyperlink" Target="https://meteor.aihw.gov.au/content/613449" TargetMode="External" Id="R38cd64918e8048da" /><Relationship Type="http://schemas.openxmlformats.org/officeDocument/2006/relationships/hyperlink" Target="https://meteor.aihw.gov.au/RegistrationAuthority/6" TargetMode="External" Id="R60bc9f056b874878" /></Relationships>
</file>

<file path=word/_rels/header1.xml.rels>&#65279;<?xml version="1.0" encoding="utf-8"?><Relationships xmlns="http://schemas.openxmlformats.org/package/2006/relationships"><Relationship Type="http://schemas.openxmlformats.org/officeDocument/2006/relationships/image" Target="/media/image.png" Id="Rea85a7d44bdc416e" /></Relationships>
</file>