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6fe798cc0d4198"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bb6f8a2b9411d">
              <w:r>
                <w:rPr>
                  <w:rStyle w:val="Hyperlink"/>
                  <w:color w:val="244061"/>
                </w:rPr>
                <w:t xml:space="preserve">AIHW Data Quality Statements</w:t>
              </w:r>
            </w:hyperlink>
            <w:r>
              <w:rPr>
                <w:rStyle w:val="row-content"/>
                <w:color w:val="244061"/>
              </w:rPr>
              <w:t xml:space="preserve">, Superseded 22/12/2017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rental housing (PH) dwellings, households assisted and households on the waiting list. Data are provided for the following two reference periods: 2015–16 financial year and point in time at 30 June 2016.</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b6232564fe44b9b">
              <w:r>
                <w:rPr>
                  <w:rStyle w:val="Hyperlink"/>
                  <w:i/>
                </w:rPr>
                <w:t xml:space="preserve">Australian Institute of Health and Welfare Act 1987</w:t>
              </w:r>
            </w:hyperlink>
            <w:hyperlink w:history="true" r:id="R3ab6fd31f87f45c9">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ca515d69082e4d6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7fe6a026954d4802">
              <w:r>
                <w:rPr>
                  <w:rStyle w:val="Hyperlink"/>
                  <w:i/>
                </w:rPr>
                <w:t xml:space="preserve">Australian Institute of Health and Welfare Act 1987</w:t>
              </w:r>
            </w:hyperlink>
            <w:r>
              <w:rPr>
                <w:rStyle w:val="row-content-rich-text"/>
              </w:rPr>
              <w:t xml:space="preserve">, in conjunction with compliance to the </w:t>
            </w:r>
            <w:hyperlink w:history="true" r:id="Ra9c21d29275349a1">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2032cdc561e42f9">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c6b6673a9844c0a">
              <w:r>
                <w:rPr>
                  <w:rStyle w:val="Hyperlink"/>
                  <w:i/>
                </w:rPr>
                <w:t xml:space="preserve">Housing assistance in Australia</w:t>
              </w:r>
            </w:hyperlink>
            <w:r>
              <w:rPr>
                <w:rStyle w:val="row-content-rich-text"/>
              </w:rPr>
              <w:t xml:space="preserve"> reports and the Productivity Commission's annual </w:t>
            </w:r>
            <w:hyperlink w:history="true" r:id="R1de24637d1f34988">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d095fd9fa02b4c31">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72fb33bb1ca84c3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e0971efbc124b65">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In addition, </w:t>
            </w:r>
            <w:r>
              <w:rPr>
                <w:rStyle w:val="row-content-rich-text"/>
                <w:i/>
              </w:rPr>
              <w:t xml:space="preserve">disability status </w:t>
            </w:r>
            <w:r>
              <w:rPr>
                <w:rStyle w:val="row-content-rich-text"/>
              </w:rPr>
              <w:t xml:space="preserve">is derived using the receipt of a disability pension as a proxy in some states and territories.</w:t>
            </w:r>
          </w:p>
          <w:p>
            <w:pPr>
              <w:pStyle w:val="ListParagraph"/>
              <w:numPr>
                <w:ilvl w:val="0"/>
                <w:numId w:val="3"/>
              </w:numPr>
            </w:pPr>
            <w:r>
              <w:rPr>
                <w:rStyle w:val="row-content-rich-text"/>
              </w:rPr>
              <w:t xml:space="preserve">Information about disability is not reported under eligibility requirements for some programs.</w:t>
            </w:r>
          </w:p>
          <w:p>
            <w:pPr>
              <w:pStyle w:val="ListParagraph"/>
              <w:numPr>
                <w:ilvl w:val="0"/>
                <w:numId w:val="3"/>
              </w:numPr>
            </w:pPr>
            <w:r>
              <w:rPr>
                <w:rStyle w:val="row-content-rich-text"/>
              </w:rPr>
              <w:t xml:space="preserve">Indigenous status is self-identified and not reported under eligibility requirements for some programs.</w:t>
            </w:r>
          </w:p>
          <w:p>
            <w:pPr>
              <w:pStyle w:val="ListParagraph"/>
              <w:numPr>
                <w:ilvl w:val="0"/>
                <w:numId w:val="3"/>
              </w:numPr>
            </w:pPr>
            <w:r>
              <w:rPr>
                <w:rStyle w:val="row-content-rich-text"/>
              </w:rPr>
              <w:t xml:space="preserve">Most states and territories do not update income information for non-rebated households.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Estimates for Accessibility/Remoteness Index of Australia (ARIA) regions and those produced for the total of the regions may differ due to rounding.</w:t>
            </w:r>
          </w:p>
          <w:p>
            <w:pPr>
              <w:pStyle w:val="ListParagraph"/>
              <w:numPr>
                <w:ilvl w:val="0"/>
                <w:numId w:val="3"/>
              </w:numPr>
            </w:pPr>
            <w:r>
              <w:rPr>
                <w:rStyle w:val="row-content-rich-text"/>
              </w:rPr>
              <w:t xml:space="preserve">Waitlist data are reported separately for each social housing program. Where jurisdictions have an integrated waitlist (New South Wales, Queensland, Western Australia, the Australian Capital Territory and the Northern Territory), applicants may be counted once irrespective of the number of programs for which they are applying.</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2011 census.</w:t>
            </w:r>
          </w:p>
          <w:p>
            <w:pPr>
              <w:spacing w:after="160"/>
            </w:pPr>
            <w:r>
              <w:rPr>
                <w:rStyle w:val="row-content-rich-text"/>
                <w:b/>
              </w:rPr>
              <w:t xml:space="preserve">Western Australia</w:t>
            </w:r>
          </w:p>
          <w:p>
            <w:pPr>
              <w:pStyle w:val="ListParagraph"/>
              <w:numPr>
                <w:ilvl w:val="0"/>
                <w:numId w:val="5"/>
              </w:numPr>
            </w:pPr>
            <w:r>
              <w:rPr>
                <w:rStyle w:val="row-content-rich-text"/>
              </w:rPr>
              <w:t xml:space="preserve">The Housing Authority WA changed core systems during 2014–15 resulting in a number of differences in recording practices and an amalgamation of data from the old and new systems. The 2015–16 reporting period is the first full year in which the new system is the principal data source. Therefore, any comparisons with previous years for Western Australia data should be undertaken with caution.</w:t>
            </w:r>
          </w:p>
          <w:p>
            <w:pPr>
              <w:spacing w:after="160"/>
            </w:pPr>
            <w:r>
              <w:rPr>
                <w:rStyle w:val="row-content-rich-text"/>
                <w:b/>
              </w:rPr>
              <w:t xml:space="preserve">South Australia</w:t>
            </w:r>
          </w:p>
          <w:p>
            <w:pPr>
              <w:pStyle w:val="ListParagraph"/>
              <w:numPr>
                <w:ilvl w:val="0"/>
                <w:numId w:val="6"/>
              </w:numPr>
            </w:pPr>
            <w:r>
              <w:rPr>
                <w:rStyle w:val="row-content-rich-text"/>
              </w:rPr>
              <w:t xml:space="preserve">For the current reporting period, Housing SA did not supply the ‘Dwelling history’ file which includes the variables necessary for the calculation of turnaround time</w:t>
            </w:r>
          </w:p>
          <w:p>
            <w:pPr>
              <w:pStyle w:val="ListParagraph"/>
              <w:numPr>
                <w:ilvl w:val="0"/>
                <w:numId w:val="6"/>
              </w:numPr>
            </w:pPr>
            <w:r>
              <w:rPr>
                <w:rStyle w:val="row-content-rich-text"/>
              </w:rPr>
              <w:t xml:space="preserve">During the 2015–16 reporting period, 1,087 public housing dwellings were transferred to the community sector. This resulted in a 5% decrease in the number of public housing households at 30 June 2016.</w:t>
            </w:r>
          </w:p>
          <w:p>
            <w:pPr>
              <w:spacing w:after="160"/>
            </w:pPr>
            <w:r>
              <w:rPr>
                <w:rStyle w:val="row-content-rich-text"/>
                <w:b/>
              </w:rPr>
              <w:t xml:space="preserve">Tasmania</w:t>
            </w:r>
          </w:p>
          <w:p>
            <w:pPr>
              <w:pStyle w:val="ListParagraph"/>
              <w:numPr>
                <w:ilvl w:val="0"/>
                <w:numId w:val="7"/>
              </w:numPr>
            </w:pPr>
            <w:r>
              <w:rPr>
                <w:rStyle w:val="row-content-rich-text"/>
              </w:rPr>
              <w:t xml:space="preserve">The introduction of the new Housing Assessment Prioritisation System (HAPS) in June 2015 has meant that ‘reasons for greatest need’ are unavailable.</w:t>
            </w:r>
          </w:p>
          <w:p>
            <w:pPr>
              <w:spacing w:after="160"/>
            </w:pPr>
            <w:r>
              <w:rPr>
                <w:rStyle w:val="row-content-rich-text"/>
                <w:b/>
              </w:rPr>
              <w:t xml:space="preserve">Northern Territory</w:t>
            </w:r>
          </w:p>
          <w:p>
            <w:pPr>
              <w:pStyle w:val="ListParagraph"/>
              <w:numPr>
                <w:ilvl w:val="0"/>
                <w:numId w:val="8"/>
              </w:numPr>
            </w:pPr>
            <w:r>
              <w:rPr>
                <w:rStyle w:val="row-content-rich-text"/>
              </w:rPr>
              <w:t xml:space="preserve">A total of 5,046 remote dwellings are not currently reported in either the Indigenous community housing data collection of the public housing data collection, as at 30 June 2016. The Northern Territory government has advised that they are aiming to report on these dwellings from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2013–14 Survey of Income and Housing results. This led to substantial increases in the number of households considered to be receiving a low income. Care is therefore also required when comparing data from 2014–15 onwards with previous years.</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South Australia</w:t>
            </w:r>
          </w:p>
          <w:p>
            <w:pPr>
              <w:pStyle w:val="ListParagraph"/>
              <w:numPr>
                <w:ilvl w:val="0"/>
                <w:numId w:val="10"/>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1"/>
              </w:numPr>
            </w:pPr>
            <w:r>
              <w:rPr>
                <w:rStyle w:val="row-content-rich-text"/>
              </w:rPr>
              <w:t xml:space="preserve">Reasons for ‘greatest need’ data are unavailable due to the introduction of new systems.</w:t>
            </w:r>
          </w:p>
          <w:p>
            <w:pPr>
              <w:spacing w:after="160"/>
            </w:pPr>
            <w:r>
              <w:rPr>
                <w:rStyle w:val="row-content-rich-text"/>
                <w:b/>
              </w:rPr>
              <w:t xml:space="preserve">Northern Territory</w:t>
            </w:r>
          </w:p>
          <w:p>
            <w:pPr>
              <w:pStyle w:val="ListParagraph"/>
              <w:numPr>
                <w:ilvl w:val="0"/>
                <w:numId w:val="12"/>
              </w:numPr>
            </w:pPr>
            <w:r>
              <w:rPr>
                <w:rStyle w:val="row-content-rich-text"/>
              </w:rPr>
              <w:t xml:space="preserve">Around 5,000 social housing dwellings in the Northern Territory have been excluded from administrative data collections since being transferred from the Indigenous community housing collection to remote public housing between 2008 and 2010. A total of 5,046 remote dwellings are not currently reported as at 30 June 2016. The Northern Territory government has advised that they are aiming to report on these dwellings from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469555b9d6427c">
              <w:r>
                <w:rPr>
                  <w:rStyle w:val="Hyperlink"/>
                </w:rPr>
                <w:t xml:space="preserve">Public Rental Housing Data Collection, 2014-15; Quality Statement</w:t>
              </w:r>
            </w:hyperlink>
          </w:p>
          <w:p>
            <w:pPr>
              <w:spacing w:before="0" w:after="0"/>
            </w:pPr>
            <w:r>
              <w:rPr>
                <w:rStyle w:val="row-content"/>
                <w:color w:val="244061"/>
              </w:rPr>
              <w:t xml:space="preserve">       </w:t>
            </w:r>
            <w:hyperlink w:history="true" r:id="R1c957adc02c04914">
              <w:r>
                <w:rPr>
                  <w:rStyle w:val="Hyperlink"/>
                  <w:color w:val="244061"/>
                </w:rPr>
                <w:t xml:space="preserve">AIHW Data Quality Statements</w:t>
              </w:r>
            </w:hyperlink>
            <w:r>
              <w:rPr>
                <w:rStyle w:val="row-content"/>
                <w:color w:val="244061"/>
              </w:rPr>
              <w:t xml:space="preserve">, Superseded 06/01/2017</w:t>
            </w:r>
          </w:p>
          <w:p>
            <w:r>
              <w:br/>
            </w:r>
            <w:r>
              <w:rPr>
                <w:rStyle w:val="row-content"/>
              </w:rPr>
              <w:t xml:space="preserve">Has been superseded by </w:t>
            </w:r>
            <w:hyperlink w:history="true" r:id="Rc5d69e6c19ce4992">
              <w:r>
                <w:rPr>
                  <w:rStyle w:val="Hyperlink"/>
                </w:rPr>
                <w:t xml:space="preserve">Public Rental Housing Data Collection, 2016–17; Quality Statement</w:t>
              </w:r>
            </w:hyperlink>
          </w:p>
          <w:p>
            <w:pPr>
              <w:spacing w:before="0" w:after="0"/>
            </w:pPr>
            <w:r>
              <w:rPr>
                <w:rStyle w:val="row-content"/>
                <w:color w:val="244061"/>
              </w:rPr>
              <w:t xml:space="preserve">       </w:t>
            </w:r>
            <w:hyperlink w:history="true" r:id="Rd869d269f6584a42">
              <w:r>
                <w:rPr>
                  <w:rStyle w:val="Hyperlink"/>
                  <w:color w:val="244061"/>
                </w:rPr>
                <w:t xml:space="preserve">AIHW Data Quality Statements</w:t>
              </w:r>
            </w:hyperlink>
            <w:r>
              <w:rPr>
                <w:rStyle w:val="row-content"/>
                <w:color w:val="244061"/>
              </w:rPr>
              <w:t xml:space="preserve">, Superseded 02/01/2019</w:t>
            </w:r>
          </w:p>
          <w:p>
            <w:r>
              <w:br/>
            </w:r>
          </w:p>
        </w:tc>
      </w:tr>
    </w:tbl>
    <w:p>
      <w:r>
        <w:br/>
      </w:r>
    </w:p>
    <w:sectPr>
      <w:footerReference xmlns:r="http://schemas.openxmlformats.org/officeDocument/2006/relationships" w:type="default" r:id="Rf47440eeb7d9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656267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761e45f07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440eeb7d94613" /><Relationship Type="http://schemas.openxmlformats.org/officeDocument/2006/relationships/header" Target="/word/header1.xml" Id="R26247fedc36346f4" /><Relationship Type="http://schemas.openxmlformats.org/officeDocument/2006/relationships/settings" Target="/word/settings.xml" Id="R4b4f5910e88343e0" /><Relationship Type="http://schemas.openxmlformats.org/officeDocument/2006/relationships/styles" Target="/word/styles.xml" Id="R90014a5782fa47e2" /><Relationship Type="http://schemas.openxmlformats.org/officeDocument/2006/relationships/hyperlink" Target="https://meteor.aihw.gov.au/RegistrationAuthority/5" TargetMode="External" Id="Rb3abb6f8a2b9411d" /><Relationship Type="http://schemas.openxmlformats.org/officeDocument/2006/relationships/numbering" Target="/word/numbering.xml" Id="R1c62910491e94ba9" /><Relationship Type="http://schemas.openxmlformats.org/officeDocument/2006/relationships/hyperlink" Target="https://www.legislation.gov.au/Series/C2004A03450" TargetMode="External" Id="Rbb6232564fe44b9b" /><Relationship Type="http://schemas.openxmlformats.org/officeDocument/2006/relationships/hyperlink" Target="http://www.comlaw.gov.au/Series/C2004A03450" TargetMode="External" Id="R3ab6fd31f87f45c9" /><Relationship Type="http://schemas.openxmlformats.org/officeDocument/2006/relationships/hyperlink" Target="http://www.aihw.gov.au/aihw-board/" TargetMode="External" Id="Rca515d69082e4d64" /><Relationship Type="http://schemas.openxmlformats.org/officeDocument/2006/relationships/hyperlink" Target="https://www.legislation.gov.au/Series/C2004A03450" TargetMode="External" Id="R7fe6a026954d4802" /><Relationship Type="http://schemas.openxmlformats.org/officeDocument/2006/relationships/hyperlink" Target="https://www.legislation.gov.au/Series/C2004A03712" TargetMode="External" Id="Ra9c21d29275349a1" /><Relationship Type="http://schemas.openxmlformats.org/officeDocument/2006/relationships/hyperlink" Target="http://www.aihw.gov.au/" TargetMode="External" Id="R42032cdc561e42f9" /><Relationship Type="http://schemas.openxmlformats.org/officeDocument/2006/relationships/hyperlink" Target="http://www.aihw.gov.au/housing-assistance/" TargetMode="External" Id="Rbc6b6673a9844c0a" /><Relationship Type="http://schemas.openxmlformats.org/officeDocument/2006/relationships/hyperlink" Target="http://www.pc.gov.au/research/ongoing/report-on-government-services" TargetMode="External" Id="R1de24637d1f34988" /><Relationship Type="http://schemas.openxmlformats.org/officeDocument/2006/relationships/hyperlink" Target="https://datarequest.aihw.gov.au" TargetMode="External" Id="Rd095fd9fa02b4c31" /><Relationship Type="http://schemas.openxmlformats.org/officeDocument/2006/relationships/hyperlink" Target="mailto:info@aihw.gov.au" TargetMode="External" Id="R72fb33bb1ca84c36" /><Relationship Type="http://schemas.openxmlformats.org/officeDocument/2006/relationships/hyperlink" Target="http://www.aihw.gov.au/publication-detail/?id=60129543695" TargetMode="External" Id="R0e0971efbc124b65" /><Relationship Type="http://schemas.openxmlformats.org/officeDocument/2006/relationships/hyperlink" Target="https://meteor.aihw.gov.au/content/628188" TargetMode="External" Id="Rfd469555b9d6427c" /><Relationship Type="http://schemas.openxmlformats.org/officeDocument/2006/relationships/hyperlink" Target="https://meteor.aihw.gov.au/RegistrationAuthority/5" TargetMode="External" Id="R1c957adc02c04914" /><Relationship Type="http://schemas.openxmlformats.org/officeDocument/2006/relationships/hyperlink" Target="https://meteor.aihw.gov.au/content/677603" TargetMode="External" Id="Rc5d69e6c19ce4992" /><Relationship Type="http://schemas.openxmlformats.org/officeDocument/2006/relationships/hyperlink" Target="https://meteor.aihw.gov.au/RegistrationAuthority/5" TargetMode="External" Id="Rd869d269f6584a42" /></Relationships>
</file>

<file path=word/_rels/header1.xml.rels>&#65279;<?xml version="1.0" encoding="utf-8"?><Relationships xmlns="http://schemas.openxmlformats.org/package/2006/relationships"><Relationship Type="http://schemas.openxmlformats.org/officeDocument/2006/relationships/image" Target="/media/image.png" Id="Rcc0761e45f0743dd" /></Relationships>
</file>