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aa63114ea04744"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7d1bce0ec4db7">
              <w:r>
                <w:rPr>
                  <w:rStyle w:val="Hyperlink"/>
                  <w:color w:val="244061"/>
                </w:rPr>
                <w:t xml:space="preserve">AIHW Data Quality Statements</w:t>
              </w:r>
            </w:hyperlink>
            <w:r>
              <w:rPr>
                <w:rStyle w:val="row-content"/>
                <w:color w:val="244061"/>
              </w:rPr>
              <w:t xml:space="preserve">, Standard 24/08/2016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2015: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rPr>
              <w:t xml:space="preserve">This is the sixth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w:t>
            </w:r>
          </w:p>
          <w:p>
            <w:pPr>
              <w:spacing w:after="160"/>
            </w:pPr>
            <w:r>
              <w:rPr>
                <w:rStyle w:val="row-content-rich-text"/>
              </w:rPr>
              <w:t xml:space="preserve">The major issues with data quality for the NHWDS 2015: medical practitioners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between the NHWDS 2011: medical practitioners derivation and the derivation of NHWDS 2012-2013: medical practitioners.</w:t>
            </w:r>
          </w:p>
          <w:p>
            <w:pPr>
              <w:pStyle w:val="ListParagraph"/>
              <w:numPr>
                <w:ilvl w:val="0"/>
                <w:numId w:val="2"/>
              </w:numPr>
            </w:pPr>
            <w:r>
              <w:rPr>
                <w:rStyle w:val="row-content-rich-text"/>
              </w:rPr>
              <w:t xml:space="preserve">Until 2009, the AIHW Medical Labour Force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 provisional registrants. In 2011 there were 2,945 provisional registrants included. In 2012 3,250 provisional registrants were excluded, 3,546 in 2013, 4,190 in 2014 and 5,339 in 2015.</w:t>
            </w:r>
          </w:p>
          <w:p>
            <w:pPr>
              <w:spacing w:after="160"/>
            </w:pPr>
            <w:r>
              <w:rPr>
                <w:rStyle w:val="row-content-rich-text"/>
                <w:b/>
              </w:rPr>
              <w:t xml:space="preserve">Description </w:t>
            </w:r>
          </w:p>
          <w:p>
            <w:pPr>
              <w:spacing w:after="160"/>
            </w:pPr>
            <w:r>
              <w:rPr>
                <w:rStyle w:val="row-content-rich-text"/>
              </w:rPr>
              <w:t xml:space="preserve">The NHWDS 2015: medical practitioners is a combination of registration and survey data collected through the medical practitioner registration renewal process.</w:t>
            </w:r>
          </w:p>
          <w:p>
            <w:pPr>
              <w:spacing w:after="160"/>
            </w:pPr>
            <w:r>
              <w:rPr>
                <w:rStyle w:val="row-content-rich-text"/>
                <w:b/>
              </w:rPr>
              <w:t xml:space="preserve">Registration data</w:t>
            </w:r>
          </w:p>
          <w:p>
            <w:pPr>
              <w:spacing w:after="160"/>
            </w:pPr>
            <w:r>
              <w:rPr>
                <w:rStyle w:val="row-content-rich-text"/>
              </w:rPr>
              <w:t xml:space="preserve">All Medical practitioners must be registered with AHPRA to practise in Australia. Medical practitioners are required by law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the anniversary of when the individual practitioner last registered/renewed.</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(see registration forms at </w:t>
            </w:r>
            <w:hyperlink w:history="true" r:id="R0c97012877ad4176">
              <w:r>
                <w:rPr>
                  <w:rStyle w:val="Hyperlink"/>
                </w:rPr>
                <w:t xml:space="preserve">http://www.medicalboard.gov.au/Registration/Types/General-Registration.aspx</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5216b079e76842a5">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 The Department of Health is a Federal Government agency that  has a diverse set of responsibilities reflected in their Vision statement: Better health and wellbeing for all Australians, now and for future generations.</w:t>
            </w:r>
          </w:p>
          <w:p>
            <w:pPr/>
            <w:r>
              <w:rPr>
                <w:rStyle w:val="row-content-rich-text"/>
              </w:rPr>
              <w:t xml:space="preserve">The AIHW is the data custodian of the NHWDS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2015: medical practitioners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Medical Workforce Survey was collected between 1 July and 30 September,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rPr>
              <w:t xml:space="preserve">The online data was provided to the AIHW from AHPRA in February 2016 while the paper forms were sent to the AIHW from the Commonwealth Department of Health in January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2015: medical practitioners are published on the AIHW website at </w:t>
            </w:r>
            <w:hyperlink w:history="true" r:id="R5872e84defcf4ea0">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978343bda34a40da">
              <w:r>
                <w:rPr>
                  <w:rStyle w:val="Hyperlink"/>
                </w:rPr>
                <w:t xml:space="preserve">http://www.aihw.gov.au/custom-data-request-service/</w:t>
              </w:r>
            </w:hyperlink>
            <w:r>
              <w:rPr>
                <w:rStyle w:val="row-content-rich-text"/>
              </w:rPr>
              <w:t xml:space="preserve">,  via the Communications, Media and Marketing Unit on (02) 6244 1032 or via email to </w:t>
            </w:r>
            <w:hyperlink w:history="true" r:id="R195188aeba9a4faa">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2015: medical practitioners are available on request from the Expenditure and Workforce Unit at the AIHW.</w:t>
            </w:r>
          </w:p>
          <w:p>
            <w:pPr/>
            <w:r>
              <w:rPr>
                <w:rStyle w:val="row-content-rich-text"/>
              </w:rPr>
              <w:t xml:space="preserve">The survey used by medical practitioners is available from the AIHW website </w:t>
            </w:r>
            <w:hyperlink w:history="true" r:id="R1b6de1b0268441c9">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The data set also contains workforce information for registered medical practitioners who completed the Medical Workforce Survey. The overall response rate to the 2015 survey was 92.2%. That is, the number of responses to the survey represented 92.2% of registered medical practitioners. Of these responses, 97.6% completed the 2015 version of the survey online, 1.5% completed the 2015 version of the survey on paper and 0.9% completed the 2014 version of the survey on paper. The group with the lowest response rate was limited registrants (2,988 registrations with a response rate of 25.7%) who only complete paper survey forms on the anniversary of their first registration. As a result not only do they have a low response rate but they are more likely to complete the 2014 version of the survey on paper. Of particular note in 2015, the response rate for the 252 limited registrants in South Australia was only 3.9% and the response rate for the 465 limited registrants in Queensland was only 9.9%. This significantly affects the reliability of estimates for these groups.</w:t>
            </w:r>
          </w:p>
          <w:p>
            <w:pPr>
              <w:spacing w:after="160"/>
            </w:pPr>
            <w:r>
              <w:rPr>
                <w:rStyle w:val="row-content-rich-text"/>
                <w:b/>
              </w:rPr>
              <w:t xml:space="preserve">Registration data from the NRAS </w:t>
            </w:r>
          </w:p>
          <w:p>
            <w:pPr>
              <w:spacing w:after="160"/>
            </w:pPr>
            <w:r>
              <w:rPr>
                <w:rStyle w:val="row-content-rich-text"/>
              </w:rPr>
              <w:t xml:space="preserve">The NRAS allows a medical practitioner to record more than one specialty, with up to five specialties recorded in 2015.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2015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2015 questionnaire.</w:t>
            </w:r>
          </w:p>
          <w:p>
            <w:pPr>
              <w:spacing w:after="160"/>
            </w:pPr>
            <w:r>
              <w:rPr>
                <w:rStyle w:val="row-content-rich-text"/>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In the electronic version of the 2015 survey, a small number of survey items were filled by an automated process that draws on the registration data of respondents.</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10.7%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location was therefore derived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Quality of location information</w:t>
            </w:r>
          </w:p>
          <w:p>
            <w:pPr>
              <w:spacing w:after="160"/>
            </w:pPr>
            <w:r>
              <w:rPr>
                <w:rStyle w:val="row-content-rich-text"/>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w:t>
            </w:r>
          </w:p>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b/>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2015—coherence with previous data </w:t>
            </w:r>
          </w:p>
          <w:p>
            <w:pPr>
              <w:spacing w:after="160"/>
            </w:pPr>
            <w:r>
              <w:rPr>
                <w:rStyle w:val="row-content-rich-text"/>
              </w:rPr>
              <w:t xml:space="preserve">Previously published data for 2010 and 2011 include provisional registrants. As a result, growth between the published 2011 and 2012 data is understated by the order of 3.6%.</w:t>
            </w:r>
          </w:p>
          <w:p>
            <w:pPr>
              <w:spacing w:after="160"/>
            </w:pPr>
            <w:r>
              <w:rPr>
                <w:rStyle w:val="row-content-rich-text"/>
              </w:rPr>
              <w:t xml:space="preserve">There were a number of additional questions and additions to questions in the survey between 2012 and 2013 and a few other minor changes in the Medical Workforce Survey data between 2012, 2013, 2014 and 2015; most data from 2011 are considered comparable, though later data do provide additional detail in some cases.</w:t>
            </w:r>
          </w:p>
          <w:p>
            <w:pPr>
              <w:spacing w:after="160"/>
            </w:pPr>
            <w:r>
              <w:rPr>
                <w:rStyle w:val="row-content-rich-text"/>
              </w:rPr>
              <w:t xml:space="preserve">Queensland and Western Australia did not provide data for 2010.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2015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2015 are also different to that of the previous surveys because in some states and territories not all types of registered medical practitioners were sent a survey form in the period until 2009.</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b/>
              </w:rPr>
              <w:t xml:space="preserve">Speciality of practice</w:t>
            </w:r>
          </w:p>
          <w:p>
            <w:pPr>
              <w:spacing w:after="160"/>
            </w:pPr>
            <w:r>
              <w:rPr>
                <w:rStyle w:val="row-content-rich-text"/>
              </w:rPr>
              <w:t xml:space="preserve">Before 2010, main specialty of practice information was self-reported by registered medical practitioners from a set of 50 statistical categories in the AIHW Medical Labour Force Survey.</w:t>
            </w:r>
          </w:p>
          <w:p>
            <w:pPr>
              <w:spacing w:after="160"/>
            </w:pPr>
            <w:r>
              <w:rPr>
                <w:rStyle w:val="row-content-rich-text"/>
              </w:rPr>
              <w:t xml:space="preserve">Speciality of practice, from 2010 to 2015,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rPr>
              <w:t xml:space="preserve">Thus, comparison of specialty data for 2012 and later years with results from earlier surveys should be treated with caution.</w:t>
            </w:r>
          </w:p>
          <w:p>
            <w:pPr>
              <w:spacing w:after="160"/>
            </w:pPr>
            <w:r>
              <w:rPr>
                <w:rStyle w:val="row-content-rich-text"/>
                <w:b/>
              </w:rPr>
              <w:t xml:space="preserve">General practitioners</w:t>
            </w:r>
          </w:p>
          <w:p>
            <w:pPr>
              <w:spacing w:after="160"/>
            </w:pPr>
            <w:r>
              <w:rPr>
                <w:rStyle w:val="row-content-rich-text"/>
              </w:rPr>
              <w:t xml:space="preserve">A change in the response options for the question about ‘principal area of main job in medicine’, from ‘GP/primary care practitioner’ until 2009 to ‘general practitioner’ in 2011 and 2012 has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and 2015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did not find any evidence in the data for a significant effect.</w:t>
            </w:r>
          </w:p>
          <w:p>
            <w:pPr>
              <w:spacing w:after="160"/>
            </w:pPr>
            <w:r>
              <w:rPr>
                <w:rStyle w:val="row-content-rich-text"/>
                <w:b/>
              </w:rPr>
              <w:t xml:space="preserve">Work settings</w:t>
            </w:r>
          </w:p>
          <w:p>
            <w:pPr>
              <w:spacing w:after="160"/>
            </w:pPr>
            <w:r>
              <w:rPr>
                <w:rStyle w:val="row-content-rich-text"/>
              </w:rPr>
              <w:t xml:space="preserve">Work setting response categories in the current survey are similar to those until 2009. The current categories are more detailed and directed towards service provision; for example, there are three categories of private practice (‘solo’, ‘group’ and ‘locum’) compared with only one available until 2009. While in 2010 and 2011 the survey form provided a distinction between ‘outpatient’ and ‘other hospital’ settings, the 2012 question included only ‘hospital’ as a response category. From 2013 surveys provided a distinction between ‘outpatient’ and ‘other hospital’ settings.</w:t>
            </w:r>
          </w:p>
          <w:p>
            <w:pPr>
              <w:spacing w:after="160"/>
            </w:pPr>
            <w:r>
              <w:rPr>
                <w:rStyle w:val="row-content-rich-text"/>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that have carried forward  include questions on:</w:t>
            </w:r>
          </w:p>
          <w:p>
            <w:pPr>
              <w:pStyle w:val="ListParagraph"/>
              <w:numPr>
                <w:ilvl w:val="0"/>
                <w:numId w:val="4"/>
              </w:numPr>
            </w:pPr>
            <w:r>
              <w:rPr>
                <w:rStyle w:val="row-content-rich-text"/>
              </w:rPr>
              <w:t xml:space="preserve">Overseas field of medicine for registrants employed in medicine overseas. </w:t>
            </w:r>
          </w:p>
          <w:p>
            <w:pPr>
              <w:pStyle w:val="ListParagraph"/>
              <w:numPr>
                <w:ilvl w:val="0"/>
                <w:numId w:val="4"/>
              </w:numPr>
            </w:pPr>
            <w:r>
              <w:rPr>
                <w:rStyle w:val="row-content-rich-text"/>
              </w:rPr>
              <w:t xml:space="preserve">Occupation for registrants employed in a non-medical occupation. </w:t>
            </w:r>
          </w:p>
          <w:p>
            <w:pPr>
              <w:pStyle w:val="ListParagraph"/>
              <w:numPr>
                <w:ilvl w:val="0"/>
                <w:numId w:val="4"/>
              </w:numPr>
            </w:pPr>
            <w:r>
              <w:rPr>
                <w:rStyle w:val="row-content-rich-text"/>
              </w:rPr>
              <w:t xml:space="preserve">In 2013 General practitioners (GP) (excluding AGPT program trainees) were asked if they were working in general practice with a specialist registration, in 2014 the variable was corrupted and unusable but in 2015 the information was matched at the time of the survey from the registration data. If GPs were working without a specialist registration they were asked if they were a RACGP/ACRRM/RVTS trainee. </w:t>
            </w:r>
          </w:p>
          <w:p>
            <w:pPr>
              <w:pStyle w:val="ListParagraph"/>
              <w:numPr>
                <w:ilvl w:val="0"/>
                <w:numId w:val="4"/>
              </w:numPr>
            </w:pPr>
            <w:r>
              <w:rPr>
                <w:rStyle w:val="row-content-rich-text"/>
              </w:rPr>
              <w:t xml:space="preserve">Hospital non-specialists were asked what their position in the hospital was. </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pStyle w:val="ListParagraph"/>
              <w:numPr>
                <w:ilvl w:val="0"/>
                <w:numId w:val="5"/>
              </w:numPr>
            </w:pPr>
            <w:r>
              <w:rPr>
                <w:rStyle w:val="row-content-rich-text"/>
              </w:rPr>
              <w:t xml:space="preserve">The 2012 online version of the survey potentially allowed up to 7 specialties of training but this was not apparently intended. </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 </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From 2013, the AIHW used that information to recode data for some people where it was apparent that the text could be recoded to one of the existing categories. For example, ‘pathology’ was recoded to ‘clinical’.  In 2015, 1,020 respondents filled in ‘Other’ and approximately 550 of these were recoded or were invalid for other reasons. A minor discrepancy in the coding in 2013 and 2014 resulting in approximately 400 more of these records being recoded than in 2015.</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until 2009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e3b71437898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50feab39f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b714378984aec" /><Relationship Type="http://schemas.openxmlformats.org/officeDocument/2006/relationships/header" Target="/word/header1.xml" Id="R134cce25eeab415f" /><Relationship Type="http://schemas.openxmlformats.org/officeDocument/2006/relationships/settings" Target="/word/settings.xml" Id="R4ea6f8dab86a4aa4" /><Relationship Type="http://schemas.openxmlformats.org/officeDocument/2006/relationships/styles" Target="/word/styles.xml" Id="R258ebecec1a34056" /><Relationship Type="http://schemas.openxmlformats.org/officeDocument/2006/relationships/hyperlink" Target="https://meteor.aihw.gov.au/RegistrationAuthority/5" TargetMode="External" Id="R35b7d1bce0ec4db7" /><Relationship Type="http://schemas.openxmlformats.org/officeDocument/2006/relationships/numbering" Target="/word/numbering.xml" Id="R0ed9d3f37dd94832" /><Relationship Type="http://schemas.openxmlformats.org/officeDocument/2006/relationships/hyperlink" Target="http://www.medicalboard.gov.au/Registration/Types/General-Registration.aspx" TargetMode="External" Id="R0c97012877ad4176" /><Relationship Type="http://schemas.openxmlformats.org/officeDocument/2006/relationships/hyperlink" Target="http://www.aihw.gov.au" TargetMode="External" Id="R5216b079e76842a5" /><Relationship Type="http://schemas.openxmlformats.org/officeDocument/2006/relationships/hyperlink" Target="http://www.aihw.gov.au/workforce/medical/" TargetMode="External" Id="R5872e84defcf4ea0" /><Relationship Type="http://schemas.openxmlformats.org/officeDocument/2006/relationships/hyperlink" Target="http://www.aihw.gov.au/custom-data-request-service/" TargetMode="External" Id="R978343bda34a40da" /><Relationship Type="http://schemas.openxmlformats.org/officeDocument/2006/relationships/hyperlink" Target="mailto:info@aihw.gov.au" TargetMode="External" Id="R195188aeba9a4faa" /><Relationship Type="http://schemas.openxmlformats.org/officeDocument/2006/relationships/hyperlink" Target="http://www.aihw.gov.au/workforce/medical/" TargetMode="External" Id="R1b6de1b0268441c9" /></Relationships>
</file>

<file path=word/_rels/header1.xml.rels>&#65279;<?xml version="1.0" encoding="utf-8"?><Relationships xmlns="http://schemas.openxmlformats.org/package/2006/relationships"><Relationship Type="http://schemas.openxmlformats.org/officeDocument/2006/relationships/image" Target="/media/image.png" Id="R11950feab39f4cb8" /></Relationships>
</file>