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3acec2db43a4c5a"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Number of knee replacement hospitalisations per 100,000 people, aged 18 years and over, 2014-15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Number of knee replacement hospitalisations per 100,000 people, aged 18 years and over,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Knee replacement hospitalisations 18 years and over,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641165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050cc4e7194a40">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knee replacement hospitalisations per 100,000 people aged 18 years and over, age and sex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260ccaf0bfe48df">
              <w:r>
                <w:rPr>
                  <w:rStyle w:val="Hyperlink"/>
                </w:rPr>
                <w:t xml:space="preserve">Australian Atlas of Healthcare Variation 2017</w:t>
              </w:r>
            </w:hyperlink>
          </w:p>
          <w:p>
            <w:pPr>
              <w:spacing w:before="0" w:after="0"/>
            </w:pPr>
            <w:r>
              <w:rPr>
                <w:rStyle w:val="row-content"/>
                <w:color w:val="244061"/>
              </w:rPr>
              <w:t xml:space="preserve">       </w:t>
            </w:r>
            <w:hyperlink w:history="true" r:id="R207d077224c34a34">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w:t>
            </w:r>
          </w:p>
          <w:tbl>
            <w:tblPr>
              <w:tblStyle w:val="TableGrid"/>
              <w:tblW w:w="5000" w:type="pct"/>
              <w:tblLayout w:type="autofit"/>
            </w:tblPr>
            <w:tblGrid>
              <w:gridCol/>
              <w:gridCol/>
              <w:gridCol/>
            </w:tblGrid>
            <w:tr>
              <w:trPr/>
              <w:tc>
                <w:tcPr>
                  <w:tcW w:w="1800" w:type="pct"/>
                  <w:vAlign w:val="top"/>
                </w:tcPr>
                <w:p>
                  <w:pPr/>
                  <w:r>
                    <w:rPr>
                      <w:rStyle w:val="row-content-rich-text"/>
                      <w:b/>
                    </w:rPr>
                    <w:t xml:space="preserve">ACHI 8th edition code</w:t>
                  </w:r>
                </w:p>
              </w:tc>
              <w:tc>
                <w:tcPr>
                  <w:tcW w:w="650" w:type="pct"/>
                  <w:vAlign w:val="top"/>
                </w:tcPr>
                <w:p>
                  <w:r>
                    <w:rPr>
                      <w:b/>
                    </w:rPr>
                    <w:t xml:space="preserve">Description</w:t>
                  </w:r>
                </w:p>
              </w:tc>
              <w:tc>
                <w:tcPr>
                  <w:tcW w:w="2500" w:type="pct"/>
                  <w:vAlign w:val="top"/>
                </w:tcPr>
                <w:p>
                  <w:r>
                    <w:rPr>
                      <w:b/>
                    </w:rPr>
                    <w:t xml:space="preserve"> </w:t>
                  </w:r>
                </w:p>
              </w:tc>
            </w:tr>
            <w:tr>
              <w:trPr/>
              <w:tc>
                <w:tcPr>
                  <w:tcW w:w="1800" w:type="pct"/>
                  <w:vAlign w:val="top"/>
                </w:tcPr>
                <w:p>
                  <w:r>
                    <w:t xml:space="preserve">49521-00 [1519]</w:t>
                  </w:r>
                </w:p>
              </w:tc>
              <w:tc>
                <w:tcPr>
                  <w:tcW w:w="650" w:type="pct"/>
                  <w:vAlign w:val="top"/>
                </w:tcPr>
                <w:p>
                  <w:r>
                    <w:t xml:space="preserve">Total arthroplasty of knee with bone graft to femur, unilateral</w:t>
                  </w:r>
                  <w:r>
                    <w:br/>
                  </w:r>
                  <w:r>
                    <w:t xml:space="preserve"> </w:t>
                  </w:r>
                </w:p>
              </w:tc>
              <w:tc>
                <w:tcPr>
                  <w:tcW w:w="2500" w:type="pct"/>
                  <w:vMerge w:val="restart"/>
                  <w:vAlign w:val="top"/>
                </w:tcPr>
                <w:p>
                  <w:r>
                    <w:t xml:space="preserve">Include records with at least one of the listed procedures. A record with more than one of the listed procedures is only counted once.</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tc>
            </w:tr>
            <w:tr>
              <w:trPr/>
              <w:tc>
                <w:tcPr>
                  <w:tcW w:w="1800" w:type="pct"/>
                  <w:vAlign w:val="top"/>
                </w:tcPr>
                <w:p>
                  <w:r>
                    <w:t xml:space="preserve">49521-01 [1519]</w:t>
                  </w:r>
                </w:p>
              </w:tc>
              <w:tc>
                <w:tcPr>
                  <w:tcW w:w="650" w:type="pct"/>
                  <w:vMerge/>
                </w:tcPr>
                <w:p/>
              </w:tc>
              <w:tc>
                <w:tcPr>
                  <w:tcW w:w="2500" w:type="pct"/>
                  <w:vAlign w:val="top"/>
                </w:tcPr>
                <w:p>
                  <w:r>
                    <w:t xml:space="preserve">Total arthroplasty of knee with bone graft to femur, bilateral</w:t>
                  </w:r>
                </w:p>
                <w:p>
                  <w:r>
                    <w:t xml:space="preserve"> </w:t>
                  </w:r>
                </w:p>
              </w:tc>
            </w:tr>
            <w:tr>
              <w:trPr/>
              <w:tc>
                <w:tcPr>
                  <w:tcW w:w="1800" w:type="pct"/>
                  <w:vAlign w:val="top"/>
                </w:tcPr>
                <w:p>
                  <w:r>
                    <w:t xml:space="preserve">49521-02  [1519]</w:t>
                  </w:r>
                </w:p>
              </w:tc>
              <w:tc>
                <w:tcPr>
                  <w:tcW w:w="650" w:type="pct"/>
                  <w:vMerge/>
                </w:tcPr>
                <w:p/>
              </w:tc>
              <w:tc>
                <w:tcPr>
                  <w:tcW w:w="2500" w:type="pct"/>
                  <w:vAlign w:val="top"/>
                </w:tcPr>
                <w:p>
                  <w:r>
                    <w:t xml:space="preserve">Total arthroplasty of knee with bone graft to tibia, unilateral</w:t>
                  </w:r>
                  <w:r>
                    <w:br/>
                  </w:r>
                  <w:r>
                    <w:t xml:space="preserve"> </w:t>
                  </w:r>
                </w:p>
              </w:tc>
            </w:tr>
            <w:tr>
              <w:trPr/>
              <w:tc>
                <w:tcPr>
                  <w:tcW w:w="1800" w:type="pct"/>
                  <w:vAlign w:val="top"/>
                </w:tcPr>
                <w:p>
                  <w:r>
                    <w:t xml:space="preserve">49521-03 [1519]</w:t>
                  </w:r>
                </w:p>
              </w:tc>
              <w:tc>
                <w:tcPr>
                  <w:tcW w:w="650" w:type="pct"/>
                  <w:vMerge/>
                </w:tcPr>
                <w:p/>
              </w:tc>
              <w:tc>
                <w:tcPr>
                  <w:tcW w:w="2500" w:type="pct"/>
                  <w:vAlign w:val="top"/>
                </w:tcPr>
                <w:p>
                  <w:r>
                    <w:t xml:space="preserve">Total arthroplasty of knee with bone graft to tibia, bilateral</w:t>
                  </w:r>
                  <w:r>
                    <w:br/>
                  </w:r>
                  <w:r>
                    <w:t xml:space="preserve"> </w:t>
                  </w:r>
                </w:p>
              </w:tc>
            </w:tr>
            <w:tr>
              <w:trPr/>
              <w:tc>
                <w:tcPr>
                  <w:tcW w:w="1800" w:type="pct"/>
                  <w:vAlign w:val="top"/>
                </w:tcPr>
                <w:p>
                  <w:r>
                    <w:t xml:space="preserve">49524-00 [1519]</w:t>
                  </w:r>
                </w:p>
              </w:tc>
              <w:tc>
                <w:tcPr>
                  <w:tcW w:w="650" w:type="pct"/>
                  <w:vMerge/>
                </w:tcPr>
                <w:p/>
              </w:tc>
              <w:tc>
                <w:tcPr>
                  <w:tcW w:w="2500" w:type="pct"/>
                  <w:vAlign w:val="top"/>
                </w:tcPr>
                <w:p>
                  <w:r>
                    <w:t xml:space="preserve">Total arthroplasty of knee with bone graft to femur and tibia, unilateral</w:t>
                  </w:r>
                  <w:r>
                    <w:br/>
                  </w:r>
                  <w:r>
                    <w:t xml:space="preserve"> </w:t>
                  </w:r>
                </w:p>
              </w:tc>
            </w:tr>
            <w:tr>
              <w:trPr/>
              <w:tc>
                <w:tcPr>
                  <w:tcW w:w="1800" w:type="pct"/>
                  <w:vAlign w:val="top"/>
                </w:tcPr>
                <w:p>
                  <w:r>
                    <w:t xml:space="preserve">49524-01</w:t>
                  </w:r>
                  <w:r>
                    <w:br/>
                  </w:r>
                  <w:r>
                    <w:t xml:space="preserve">  [1519]</w:t>
                  </w:r>
                </w:p>
              </w:tc>
              <w:tc>
                <w:tcPr>
                  <w:tcW w:w="650" w:type="pct"/>
                  <w:vMerge/>
                </w:tcPr>
                <w:p/>
              </w:tc>
              <w:tc>
                <w:tcPr>
                  <w:tcW w:w="2500" w:type="pct"/>
                  <w:vAlign w:val="top"/>
                </w:tcPr>
                <w:p>
                  <w:r>
                    <w:t xml:space="preserve">Total arthroplasty of knee with bone graft to femur and tibia, bilateral</w:t>
                  </w:r>
                  <w:r>
                    <w:br/>
                  </w:r>
                  <w:r>
                    <w:t xml:space="preserve"> </w:t>
                  </w:r>
                </w:p>
              </w:tc>
            </w:tr>
            <w:tr>
              <w:trPr/>
              <w:tc>
                <w:tcPr>
                  <w:tcW w:w="1800" w:type="pct"/>
                  <w:vAlign w:val="top"/>
                </w:tcPr>
                <w:p>
                  <w:r>
                    <w:t xml:space="preserve">49518-00 [1518]</w:t>
                  </w:r>
                  <w:r>
                    <w:br/>
                  </w:r>
                  <w:r>
                    <w:t xml:space="preserve"> </w:t>
                  </w:r>
                </w:p>
              </w:tc>
              <w:tc>
                <w:tcPr>
                  <w:tcW w:w="650" w:type="pct"/>
                  <w:vMerge/>
                </w:tcPr>
                <w:p/>
              </w:tc>
              <w:tc>
                <w:tcPr>
                  <w:tcW w:w="2500" w:type="pct"/>
                  <w:vAlign w:val="top"/>
                </w:tcPr>
                <w:p>
                  <w:r>
                    <w:t xml:space="preserve">Total arthroplasty of knee, unilateral</w:t>
                  </w:r>
                  <w:r>
                    <w:br/>
                  </w:r>
                  <w:r>
                    <w:t xml:space="preserve"> </w:t>
                  </w:r>
                </w:p>
              </w:tc>
            </w:tr>
            <w:tr>
              <w:trPr/>
              <w:tc>
                <w:tcPr>
                  <w:tcW w:w="1800" w:type="pct"/>
                  <w:vAlign w:val="top"/>
                </w:tcPr>
                <w:p>
                  <w:r>
                    <w:t xml:space="preserve">49519-00 [1518]</w:t>
                  </w:r>
                  <w:r>
                    <w:br/>
                  </w:r>
                  <w:r>
                    <w:t xml:space="preserve"> </w:t>
                  </w:r>
                </w:p>
              </w:tc>
              <w:tc>
                <w:tcPr>
                  <w:tcW w:w="650" w:type="pct"/>
                  <w:vMerge/>
                </w:tcPr>
                <w:p/>
              </w:tc>
              <w:tc>
                <w:tcPr>
                  <w:tcW w:w="2500" w:type="pct"/>
                  <w:vAlign w:val="top"/>
                </w:tcPr>
                <w:p>
                  <w:r>
                    <w:t xml:space="preserve">Total arthroplasty of knee, bilateral</w:t>
                  </w:r>
                  <w:r>
                    <w:br/>
                  </w:r>
                  <w:r>
                    <w:t xml:space="preserve"> </w:t>
                  </w:r>
                </w:p>
              </w:tc>
            </w:tr>
            <w:tr>
              <w:trPr/>
              <w:tc>
                <w:tcPr>
                  <w:tcW w:w="1800" w:type="pct"/>
                  <w:vAlign w:val="top"/>
                </w:tcPr>
                <w:p>
                  <w:r>
                    <w:t xml:space="preserve">49527–00 [1524] </w:t>
                  </w:r>
                </w:p>
              </w:tc>
              <w:tc>
                <w:tcPr>
                  <w:tcW w:w="650" w:type="pct"/>
                  <w:vMerge/>
                </w:tcPr>
                <w:p/>
              </w:tc>
              <w:tc>
                <w:tcPr>
                  <w:tcW w:w="2500" w:type="pct"/>
                  <w:vAlign w:val="top"/>
                </w:tcPr>
                <w:p>
                  <w:r>
                    <w:t xml:space="preserve">Revision of total arthroplasty of knee</w:t>
                  </w:r>
                </w:p>
              </w:tc>
            </w:tr>
            <w:tr>
              <w:trPr/>
              <w:tc>
                <w:tcPr>
                  <w:tcW w:w="1800" w:type="pct"/>
                  <w:vAlign w:val="top"/>
                </w:tcPr>
                <w:p>
                  <w:r>
                    <w:t xml:space="preserve">49554–00 [1523]</w:t>
                  </w:r>
                </w:p>
              </w:tc>
              <w:tc>
                <w:tcPr>
                  <w:tcW w:w="650" w:type="pct"/>
                  <w:vMerge/>
                </w:tcPr>
                <w:p/>
              </w:tc>
              <w:tc>
                <w:tcPr>
                  <w:tcW w:w="2500" w:type="pct"/>
                  <w:vAlign w:val="top"/>
                </w:tcPr>
                <w:p>
                  <w:r>
                    <w:t xml:space="preserve">Revision of total arthroplasty of knee with anatomic specific allograft</w:t>
                  </w:r>
                </w:p>
              </w:tc>
            </w:tr>
            <w:tr>
              <w:trPr/>
              <w:tc>
                <w:tcPr>
                  <w:tcW w:w="1800" w:type="pct"/>
                  <w:vAlign w:val="top"/>
                </w:tcPr>
                <w:p>
                  <w:r>
                    <w:t xml:space="preserve">49530–00 [1523] </w:t>
                  </w:r>
                </w:p>
              </w:tc>
              <w:tc>
                <w:tcPr>
                  <w:tcW w:w="650" w:type="pct"/>
                  <w:vMerge/>
                </w:tcPr>
                <w:p/>
              </w:tc>
              <w:tc>
                <w:tcPr>
                  <w:tcW w:w="2500" w:type="pct"/>
                  <w:vAlign w:val="top"/>
                </w:tcPr>
                <w:p>
                  <w:r>
                    <w:t xml:space="preserve">Revision of total arthroplasty of knee with bone graft to femur </w:t>
                  </w:r>
                </w:p>
              </w:tc>
            </w:tr>
            <w:tr>
              <w:trPr/>
              <w:tc>
                <w:tcPr>
                  <w:tcW w:w="1800" w:type="pct"/>
                  <w:vAlign w:val="top"/>
                </w:tcPr>
                <w:p>
                  <w:r>
                    <w:t xml:space="preserve">49533–00 [1523] </w:t>
                  </w:r>
                </w:p>
              </w:tc>
              <w:tc>
                <w:tcPr>
                  <w:tcW w:w="650" w:type="pct"/>
                  <w:vMerge/>
                </w:tcPr>
                <w:p/>
              </w:tc>
              <w:tc>
                <w:tcPr>
                  <w:tcW w:w="2500" w:type="pct"/>
                  <w:vAlign w:val="top"/>
                </w:tcPr>
                <w:p>
                  <w:r>
                    <w:t xml:space="preserve">Revision of total arthroplsty of knee with bone graft to femur and tibia </w:t>
                  </w:r>
                </w:p>
              </w:tc>
            </w:tr>
            <w:tr>
              <w:trPr/>
              <w:tc>
                <w:tcPr>
                  <w:tcW w:w="1800" w:type="pct"/>
                  <w:vAlign w:val="top"/>
                </w:tcPr>
                <w:p>
                  <w:r>
                    <w:t xml:space="preserve">49530–01 [1523]</w:t>
                  </w:r>
                </w:p>
              </w:tc>
              <w:tc>
                <w:tcPr>
                  <w:tcW w:w="650" w:type="pct"/>
                  <w:vMerge/>
                </w:tcPr>
                <w:p/>
              </w:tc>
              <w:tc>
                <w:tcPr>
                  <w:tcW w:w="2500" w:type="pct"/>
                  <w:vAlign w:val="top"/>
                </w:tcPr>
                <w:p>
                  <w:r>
                    <w:t xml:space="preserve">Revision of total arthroplasty of knee with bone graft to tibia</w:t>
                  </w:r>
                </w:p>
              </w:tc>
            </w:tr>
            <w:tr>
              <w:trPr/>
              <w:tc>
                <w:tcPr>
                  <w:tcW w:w="1800" w:type="pct"/>
                  <w:vAlign w:val="top"/>
                </w:tcPr>
                <w:p>
                  <w:r>
                    <w:t xml:space="preserve">49517–00 [1518]</w:t>
                  </w:r>
                </w:p>
              </w:tc>
              <w:tc>
                <w:tcPr>
                  <w:tcW w:w="650" w:type="pct"/>
                  <w:vMerge/>
                </w:tcPr>
                <w:p/>
              </w:tc>
              <w:tc>
                <w:tcPr>
                  <w:tcW w:w="2500" w:type="pct"/>
                  <w:vAlign w:val="top"/>
                </w:tcPr>
                <w:p>
                  <w:r>
                    <w:t xml:space="preserve">Hemiarthroplasty of knee</w:t>
                  </w:r>
                </w:p>
              </w:tc>
            </w:tr>
            <w:tr>
              <w:trPr/>
              <w:tc>
                <w:tcPr>
                  <w:tcW w:w="1800" w:type="pct"/>
                  <w:vAlign w:val="top"/>
                </w:tcPr>
                <w:p>
                  <w:r>
                    <w:t xml:space="preserve">49534–01 [1518]</w:t>
                  </w:r>
                </w:p>
              </w:tc>
              <w:tc>
                <w:tcPr>
                  <w:tcW w:w="650" w:type="pct"/>
                  <w:vMerge/>
                </w:tcPr>
                <w:p/>
              </w:tc>
              <w:tc>
                <w:tcPr>
                  <w:tcW w:w="2500" w:type="pct"/>
                  <w:vAlign w:val="top"/>
                </w:tcPr>
                <w:p>
                  <w:r>
                    <w:t xml:space="preserve">Total replacement arthroplasty of patellofemoral joint of knee</w:t>
                  </w:r>
                </w:p>
              </w:tc>
            </w:tr>
          </w:tbl>
          <w:p>
            <w:r>
              <w:t xml:space="preserve"> </w:t>
            </w:r>
          </w:p>
          <w:p>
            <w:r>
              <w:rPr>
                <w:b/>
              </w:rPr>
              <w:t xml:space="preserve">Exclusion codes and description</w:t>
            </w:r>
          </w:p>
          <w:tbl>
            <w:tblPr>
              <w:tblStyle w:val="TableGrid"/>
              <w:tblW w:w="5000" w:type="pct"/>
              <w:tblLayout w:type="autofit"/>
            </w:tblPr>
            <w:tblGrid>
              <w:gridCol/>
              <w:gridCol/>
            </w:tblGrid>
            <w:tr>
              <w:trPr/>
              <w:tc>
                <w:tcPr>
                  <w:tcW w:w="1000" w:type="pct"/>
                  <w:vAlign w:val="top"/>
                </w:tcPr>
                <w:p>
                  <w:r>
                    <w:rPr>
                      <w:b/>
                    </w:rPr>
                    <w:t xml:space="preserve">Care type </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 </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rPr>
                <w:b/>
              </w:rPr>
              <w:t xml:space="preserve"> </w:t>
            </w:r>
          </w:p>
          <w:p>
            <w:r>
              <w:t xml:space="preserve">Presented as a number per 100,000 people. </w:t>
            </w:r>
          </w:p>
          <w:p>
            <w:r>
              <w:t xml:space="preserve"> </w:t>
            </w:r>
          </w:p>
          <w:p>
            <w:r>
              <w:t xml:space="preserve">Rates are directly age and sex standardised, to the 2001 Australian population aged 18 years and over, using age groups: 18-24, 25-29, … , 80-84, 85 and over.</w:t>
            </w:r>
          </w:p>
          <w:p>
            <w:r>
              <w:t xml:space="preserve">Indigenous and other Australian rates are directly age and sex standardised, to the 2001 Australian population aged 18 years and over, using age groups: 18-24, 25-29, … , 60-64, 65 and over.</w:t>
            </w:r>
          </w:p>
          <w:p>
            <w:r>
              <w:t xml:space="preserve"> </w:t>
            </w:r>
          </w:p>
          <w:p>
            <w:r>
              <w:t xml:space="preserve">For more information about age-standardisation in general see </w:t>
            </w:r>
            <w:hyperlink w:history="true" r:id="Reae1ab09a2b349a3">
              <w:r>
                <w:rPr>
                  <w:rStyle w:val="Hyperlink"/>
                </w:rPr>
                <w:t xml:space="preserve">/content/index.phtml/itemId/327276</w:t>
              </w:r>
            </w:hyperlink>
          </w:p>
          <w:p>
            <w:r>
              <w:t xml:space="preserve">Analysis by Statistical Area Level 3 (SA3) is based on Statistical Area Level 2 (SA2) of usual residence of the patient. </w:t>
            </w:r>
          </w:p>
          <w:p>
            <w:r>
              <w:t xml:space="preserve"> </w:t>
            </w:r>
          </w:p>
          <w:p>
            <w:r>
              <w:t xml:space="preserve">Suppress data (number or rate) if at least one of the following conditions are met: </w:t>
            </w:r>
          </w:p>
          <w:p>
            <w:r>
              <w:t xml:space="preserve">the total denominator is less than 1,000</w:t>
            </w:r>
          </w:p>
          <w:p>
            <w:r>
              <w:t xml:space="preserve">the total numerator is less than 20</w:t>
            </w:r>
          </w:p>
          <w:p>
            <w:r>
              <w:t xml:space="preserve">Age and sex standardised rates are suppressed where the denominator for at least one of the age and sex groups used to calculate the rate is below 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knee replacement hospitalisations 18 years and over.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a17c45c5c1943e2">
              <w:r>
                <w:rPr>
                  <w:rStyle w:val="Hyperlink"/>
                </w:rPr>
                <w:t xml:space="preserve">Person—date of birth, DDMMYYYY</w:t>
              </w:r>
            </w:hyperlink>
          </w:p>
          <w:p>
            <w:r>
              <w:rPr>
                <w:rStyle w:val="row-content"/>
                <w:b/>
              </w:rPr>
              <w:t xml:space="preserve">Data Source</w:t>
            </w:r>
          </w:p>
          <w:p>
            <w:hyperlink w:history="true" r:id="Rb39a0f16a4f243e7">
              <w:r>
                <w:rPr>
                  <w:rStyle w:val="Hyperlink"/>
                </w:rPr>
                <w:t xml:space="preserve">National Hospital Morbidity Database (NHMD)</w:t>
              </w:r>
            </w:hyperlink>
          </w:p>
          <w:p>
            <w:r>
              <w:rPr>
                <w:rStyle w:val="row-content"/>
                <w:b/>
              </w:rPr>
              <w:t xml:space="preserve">NMDS / DSS</w:t>
            </w:r>
          </w:p>
          <w:p>
            <w:hyperlink w:history="true" r:id="Rc83c1760a1af4251">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c60628937234976">
              <w:r>
                <w:rPr>
                  <w:rStyle w:val="Hyperlink"/>
                </w:rPr>
                <w:t xml:space="preserve">Hospital service—care type, code N[N]</w:t>
              </w:r>
            </w:hyperlink>
          </w:p>
          <w:p>
            <w:r>
              <w:rPr>
                <w:rStyle w:val="row-content"/>
                <w:b/>
              </w:rPr>
              <w:t xml:space="preserve">Data Source</w:t>
            </w:r>
          </w:p>
          <w:p>
            <w:hyperlink w:history="true" r:id="R2e82046d54b0406a">
              <w:r>
                <w:rPr>
                  <w:rStyle w:val="Hyperlink"/>
                </w:rPr>
                <w:t xml:space="preserve">National Hospital Morbidity Database (NHMD)</w:t>
              </w:r>
            </w:hyperlink>
          </w:p>
          <w:p>
            <w:r>
              <w:rPr>
                <w:rStyle w:val="row-content"/>
                <w:b/>
              </w:rPr>
              <w:t xml:space="preserve">NMDS / DSS</w:t>
            </w:r>
          </w:p>
          <w:p>
            <w:hyperlink w:history="true" r:id="R6b74d7b7d2b94384">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b4f5bd63ec24f61">
              <w:r>
                <w:rPr>
                  <w:rStyle w:val="Hyperlink"/>
                </w:rPr>
                <w:t xml:space="preserve">Episode of admitted patient care—procedure, code (ACHI 8th edn) NNNNN-NN</w:t>
              </w:r>
            </w:hyperlink>
          </w:p>
          <w:p>
            <w:r>
              <w:rPr>
                <w:rStyle w:val="row-content"/>
                <w:b/>
              </w:rPr>
              <w:t xml:space="preserve">Data Source</w:t>
            </w:r>
          </w:p>
          <w:p>
            <w:hyperlink w:history="true" r:id="Raf770b25d5014fc6">
              <w:r>
                <w:rPr>
                  <w:rStyle w:val="Hyperlink"/>
                </w:rPr>
                <w:t xml:space="preserve">National Hospital Morbidity Database (NHMD)</w:t>
              </w:r>
            </w:hyperlink>
          </w:p>
          <w:p>
            <w:r>
              <w:rPr>
                <w:rStyle w:val="row-content"/>
                <w:b/>
              </w:rPr>
              <w:t xml:space="preserve">NMDS / DSS</w:t>
            </w:r>
          </w:p>
          <w:p>
            <w:hyperlink w:history="true" r:id="Ra4b9ac3c330845f7">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 </w:t>
            </w:r>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18 years and over as at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5e8f2ae922a242dd">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9ecf4066bff249ba">
              <w:r>
                <w:rPr>
                  <w:rStyle w:val="Hyperlink"/>
                </w:rPr>
                <w:t xml:space="preserve">Person—estimated resident population of Australia, total people N[N(7)]</w:t>
              </w:r>
            </w:hyperlink>
          </w:p>
          <w:p>
            <w:r>
              <w:rPr>
                <w:rStyle w:val="row-content"/>
                <w:b/>
              </w:rPr>
              <w:t xml:space="preserve">Data Source</w:t>
            </w:r>
          </w:p>
          <w:p>
            <w:hyperlink w:history="true" r:id="R5187f4ef50a4435a">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by:</w:t>
            </w:r>
          </w:p>
          <w:p>
            <w:pPr>
              <w:spacing w:after="160"/>
            </w:pPr>
            <w:r>
              <w:rPr>
                <w:rStyle w:val="row-content-rich-text"/>
              </w:rPr>
              <w:t xml:space="preserve">Remoteness (ASGC Remoteness structure) and Socio-Economic Indexes for Areas (SEIFA) Index of Relative Socioeconomic Disadvantage (IRSD)</w:t>
            </w:r>
          </w:p>
          <w:p>
            <w:pPr>
              <w:spacing w:after="160"/>
            </w:pPr>
            <w:r>
              <w:rPr>
                <w:rStyle w:val="row-content-rich-text"/>
              </w:rPr>
              <w:t xml:space="preserve">State and territory by: </w:t>
            </w:r>
          </w:p>
          <w:p>
            <w:pPr>
              <w:spacing w:after="160"/>
            </w:pPr>
            <w:r>
              <w:rPr>
                <w:rStyle w:val="row-content-rich-text"/>
              </w:rPr>
              <w:t xml:space="preserve">Indigenous status</w:t>
            </w:r>
          </w:p>
          <w:p>
            <w:pPr/>
            <w:r>
              <w:rPr>
                <w:rStyle w:val="row-content-rich-text"/>
              </w:rPr>
              <w:t xml:space="preserve">Patient funding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40b2434cc854128">
              <w:r>
                <w:rPr>
                  <w:rStyle w:val="Hyperlink"/>
                </w:rPr>
                <w:t xml:space="preserve">Person—area of usual residence, statistical area level 2 (SA2) code (ASGS 2011) N(9)</w:t>
              </w:r>
            </w:hyperlink>
          </w:p>
          <w:p>
            <w:r>
              <w:rPr>
                <w:rStyle w:val="row-content"/>
                <w:b/>
              </w:rPr>
              <w:t xml:space="preserve">Data Source</w:t>
            </w:r>
          </w:p>
          <w:p>
            <w:hyperlink w:history="true" r:id="R6cf3095abe284b3b">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b3838c91b36461c">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d6d503f965a84e3a">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149f76a5caa403b">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50a8d594e9ca4ab3">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c091f2ce5eda4c36">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p>
            <w:pPr>
              <w:spacing w:after="160"/>
            </w:pPr>
            <w:r>
              <w:rPr>
                <w:rStyle w:val="row-content-rich-text"/>
              </w:rPr>
              <w:t xml:space="preserve"> </w:t>
            </w:r>
          </w:p>
          <w:p>
            <w:pPr>
              <w:spacing w:after="160"/>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rPr>
              <w:t xml:space="preserve">  </w:t>
            </w:r>
          </w:p>
          <w:p>
            <w:pPr>
              <w:spacing w:after="160"/>
            </w:pPr>
            <w:r>
              <w:rPr>
                <w:rStyle w:val="row-content-rich-text"/>
              </w:rPr>
              <w:t xml:space="preserve"> </w:t>
            </w:r>
          </w:p>
          <w:p>
            <w:pPr/>
            <w:r>
              <w:rPr>
                <w:rStyle w:val="row-content-rich-text"/>
              </w:rPr>
              <w:t xml:space="preserve">Private hospitals include private free-standing day hospital facilities and other private hospitals (which also include private psychiatric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1294da0d5c6743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641165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a45ec5276548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94da0d5c674356" /><Relationship Type="http://schemas.openxmlformats.org/officeDocument/2006/relationships/header" Target="/word/header1.xml" Id="Rc138f2617a0d4a04" /><Relationship Type="http://schemas.openxmlformats.org/officeDocument/2006/relationships/settings" Target="/word/settings.xml" Id="R105f061bcde8491a" /><Relationship Type="http://schemas.openxmlformats.org/officeDocument/2006/relationships/styles" Target="/word/styles.xml" Id="R99546586fa5a42ef" /><Relationship Type="http://schemas.openxmlformats.org/officeDocument/2006/relationships/hyperlink" Target="https://meteor.aihw.gov.au/RegistrationAuthority/18" TargetMode="External" Id="Ra1050cc4e7194a40" /><Relationship Type="http://schemas.openxmlformats.org/officeDocument/2006/relationships/hyperlink" Target="https://meteor.aihw.gov.au/content/674758" TargetMode="External" Id="R4260ccaf0bfe48df" /><Relationship Type="http://schemas.openxmlformats.org/officeDocument/2006/relationships/hyperlink" Target="https://meteor.aihw.gov.au/RegistrationAuthority/18" TargetMode="External" Id="R207d077224c34a34" /><Relationship Type="http://schemas.openxmlformats.org/officeDocument/2006/relationships/hyperlink" Target="https://meteor.aihw.gov.au/content/327276" TargetMode="External" Id="Reae1ab09a2b349a3" /><Relationship Type="http://schemas.openxmlformats.org/officeDocument/2006/relationships/numbering" Target="/word/numbering.xml" Id="Rb580b0e666ba4cca" /><Relationship Type="http://schemas.openxmlformats.org/officeDocument/2006/relationships/hyperlink" Target="https://meteor.aihw.gov.au/content/287007" TargetMode="External" Id="Rea17c45c5c1943e2" /><Relationship Type="http://schemas.openxmlformats.org/officeDocument/2006/relationships/hyperlink" Target="https://meteor.aihw.gov.au/content/394352" TargetMode="External" Id="Rb39a0f16a4f243e7" /><Relationship Type="http://schemas.openxmlformats.org/officeDocument/2006/relationships/hyperlink" Target="https://meteor.aihw.gov.au/content/535047" TargetMode="External" Id="Rc83c1760a1af4251" /><Relationship Type="http://schemas.openxmlformats.org/officeDocument/2006/relationships/hyperlink" Target="https://meteor.aihw.gov.au/content/491557" TargetMode="External" Id="Rac60628937234976" /><Relationship Type="http://schemas.openxmlformats.org/officeDocument/2006/relationships/hyperlink" Target="https://meteor.aihw.gov.au/content/394352" TargetMode="External" Id="R2e82046d54b0406a" /><Relationship Type="http://schemas.openxmlformats.org/officeDocument/2006/relationships/hyperlink" Target="https://meteor.aihw.gov.au/content/535047" TargetMode="External" Id="R6b74d7b7d2b94384" /><Relationship Type="http://schemas.openxmlformats.org/officeDocument/2006/relationships/hyperlink" Target="https://meteor.aihw.gov.au/content/514040" TargetMode="External" Id="R3b4f5bd63ec24f61" /><Relationship Type="http://schemas.openxmlformats.org/officeDocument/2006/relationships/hyperlink" Target="https://meteor.aihw.gov.au/content/394352" TargetMode="External" Id="Raf770b25d5014fc6" /><Relationship Type="http://schemas.openxmlformats.org/officeDocument/2006/relationships/hyperlink" Target="https://meteor.aihw.gov.au/content/535047" TargetMode="External" Id="Ra4b9ac3c330845f7" /><Relationship Type="http://schemas.openxmlformats.org/officeDocument/2006/relationships/hyperlink" Target="https://meteor.aihw.gov.au/content/394092" TargetMode="External" Id="R5e8f2ae922a242dd" /><Relationship Type="http://schemas.openxmlformats.org/officeDocument/2006/relationships/hyperlink" Target="https://meteor.aihw.gov.au/content/388656" TargetMode="External" Id="R9ecf4066bff249ba" /><Relationship Type="http://schemas.openxmlformats.org/officeDocument/2006/relationships/hyperlink" Target="https://meteor.aihw.gov.au/content/393625" TargetMode="External" Id="R5187f4ef50a4435a" /><Relationship Type="http://schemas.openxmlformats.org/officeDocument/2006/relationships/hyperlink" Target="https://meteor.aihw.gov.au/content/469909" TargetMode="External" Id="R240b2434cc854128" /><Relationship Type="http://schemas.openxmlformats.org/officeDocument/2006/relationships/hyperlink" Target="https://meteor.aihw.gov.au/content/394352" TargetMode="External" Id="R6cf3095abe284b3b" /><Relationship Type="http://schemas.openxmlformats.org/officeDocument/2006/relationships/hyperlink" Target="https://meteor.aihw.gov.au/content/394092" TargetMode="External" Id="R1b3838c91b36461c" /><Relationship Type="http://schemas.openxmlformats.org/officeDocument/2006/relationships/hyperlink" Target="https://meteor.aihw.gov.au/content/449223" TargetMode="External" Id="Rd6d503f965a84e3a" /><Relationship Type="http://schemas.openxmlformats.org/officeDocument/2006/relationships/hyperlink" Target="https://meteor.aihw.gov.au/content/394352" TargetMode="External" Id="R1149f76a5caa403b" /><Relationship Type="http://schemas.openxmlformats.org/officeDocument/2006/relationships/hyperlink" Target="https://meteor.aihw.gov.au/content/393625" TargetMode="External" Id="R50a8d594e9ca4ab3" /><Relationship Type="http://schemas.openxmlformats.org/officeDocument/2006/relationships/hyperlink" Target="https://meteor.aihw.gov.au/content/449216" TargetMode="External" Id="Rc091f2ce5eda4c36" /></Relationships>
</file>

<file path=word/_rels/header1.xml.rels>&#65279;<?xml version="1.0" encoding="utf-8"?><Relationships xmlns="http://schemas.openxmlformats.org/package/2006/relationships"><Relationship Type="http://schemas.openxmlformats.org/officeDocument/2006/relationships/image" Target="/media/image.png" Id="Reaa45ec527654863" /></Relationships>
</file>