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58321401124608" /></Relationships>
</file>

<file path=word/document.xml><?xml version="1.0" encoding="utf-8"?>
<w:document xmlns:r="http://schemas.openxmlformats.org/officeDocument/2006/relationships" xmlns:w="http://schemas.openxmlformats.org/wordprocessingml/2006/main">
  <w:body>
    <w:p>
      <w:pPr>
        <w:pStyle w:val="Title"/>
      </w:pPr>
      <w:r>
        <w:t>Recipient—partner's Centrelink benefit type,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Recipient—partner's Centrelink benefit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Partner's Centrelink benefit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b725b2ff894e93">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Centrelink benefit a recipient's partner receives,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e57356b84343b5">
              <w:r>
                <w:rPr>
                  <w:rStyle w:val="Hyperlink"/>
                </w:rPr>
                <w:t xml:space="preserve">Recipient—partner's Centrelink benefit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25913a65c34092">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Centrelink benefit a recipient's partner receives.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aea47226ce4d40">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1711c04d16640b1">
              <w:r>
                <w:rPr>
                  <w:rStyle w:val="Hyperlink"/>
                </w:rPr>
                <w:t xml:space="preserve">Partner's Centrelink benefit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6b1043ae9a4f9d">
              <w:r>
                <w:rPr>
                  <w:rStyle w:val="Hyperlink"/>
                </w:rPr>
                <w:t xml:space="preserve">Benefit type code 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17c0fccebe4e42">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Centrelink benefits.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ABY</w:t>
            </w:r>
          </w:p>
        </w:tc>
        <w:tc>
          <w:tcPr>
            <w:tcBorders>
              <w:top w:val="none" w:color="000000" w:sz="0"/>
              <w:left w:val="none" w:color="000000" w:sz="0"/>
              <w:bottom w:val="none" w:color="000000" w:sz="0"/>
              <w:right w:val="none" w:color="000000" w:sz="0"/>
            </w:tcBorders>
            <w:vAlign w:val="top"/>
          </w:tcPr>
          <w:p>
            <w:r>
              <w:t xml:space="preserve">Abstudy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AGE</w:t>
            </w:r>
          </w:p>
        </w:tc>
        <w:tc>
          <w:tcPr>
            <w:tcBorders>
              <w:top w:val="none" w:color="000000" w:sz="0"/>
              <w:left w:val="none" w:color="000000" w:sz="0"/>
              <w:bottom w:val="none" w:color="000000" w:sz="0"/>
              <w:right w:val="none" w:color="000000" w:sz="0"/>
            </w:tcBorders>
            <w:vAlign w:val="top"/>
          </w:tcPr>
          <w:p>
            <w:r>
              <w:t xml:space="preserve">Age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AUS</w:t>
            </w:r>
          </w:p>
        </w:tc>
        <w:tc>
          <w:tcPr>
            <w:tcBorders>
              <w:top w:val="none" w:color="000000" w:sz="0"/>
              <w:left w:val="none" w:color="000000" w:sz="0"/>
              <w:bottom w:val="none" w:color="000000" w:sz="0"/>
              <w:right w:val="none" w:color="000000" w:sz="0"/>
            </w:tcBorders>
            <w:vAlign w:val="top"/>
          </w:tcPr>
          <w:p>
            <w:r>
              <w:t xml:space="preserve">Austudy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BVA</w:t>
            </w:r>
          </w:p>
        </w:tc>
        <w:tc>
          <w:tcPr>
            <w:tcBorders>
              <w:top w:val="none" w:color="000000" w:sz="0"/>
              <w:left w:val="none" w:color="000000" w:sz="0"/>
              <w:bottom w:val="none" w:color="000000" w:sz="0"/>
              <w:right w:val="none" w:color="000000" w:sz="0"/>
            </w:tcBorders>
            <w:vAlign w:val="top"/>
          </w:tcPr>
          <w:p>
            <w:r>
              <w:t xml:space="preserve">Bereavement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w:t>
            </w:r>
          </w:p>
        </w:tc>
        <w:tc>
          <w:tcPr>
            <w:tcBorders>
              <w:top w:val="none" w:color="000000" w:sz="0"/>
              <w:left w:val="none" w:color="000000" w:sz="0"/>
              <w:bottom w:val="none" w:color="000000" w:sz="0"/>
              <w:right w:val="none" w:color="000000" w:sz="0"/>
            </w:tcBorders>
            <w:vAlign w:val="top"/>
          </w:tcPr>
          <w:p>
            <w:r>
              <w:t xml:space="preserve">Carer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DSP</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ECP</w:t>
            </w:r>
          </w:p>
        </w:tc>
        <w:tc>
          <w:tcPr>
            <w:tcBorders>
              <w:top w:val="none" w:color="000000" w:sz="0"/>
              <w:left w:val="none" w:color="000000" w:sz="0"/>
              <w:bottom w:val="none" w:color="000000" w:sz="0"/>
              <w:right w:val="none" w:color="000000" w:sz="0"/>
            </w:tcBorders>
            <w:vAlign w:val="top"/>
          </w:tcPr>
          <w:p>
            <w:r>
              <w:t xml:space="preserve">Exceptional Circumstance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FFR</w:t>
            </w:r>
          </w:p>
        </w:tc>
        <w:tc>
          <w:tcPr>
            <w:tcBorders>
              <w:top w:val="none" w:color="000000" w:sz="0"/>
              <w:left w:val="none" w:color="000000" w:sz="0"/>
              <w:bottom w:val="none" w:color="000000" w:sz="0"/>
              <w:right w:val="none" w:color="000000" w:sz="0"/>
            </w:tcBorders>
            <w:vAlign w:val="top"/>
          </w:tcPr>
          <w:p>
            <w:r>
              <w:t xml:space="preserve">Farm Help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JSA</w:t>
            </w:r>
          </w:p>
        </w:tc>
        <w:tc>
          <w:tcPr>
            <w:tcBorders>
              <w:top w:val="none" w:color="000000" w:sz="0"/>
              <w:left w:val="none" w:color="000000" w:sz="0"/>
              <w:bottom w:val="none" w:color="000000" w:sz="0"/>
              <w:right w:val="none" w:color="000000" w:sz="0"/>
            </w:tcBorders>
            <w:vAlign w:val="top"/>
          </w:tcPr>
          <w:p>
            <w:r>
              <w:t xml:space="preserve">Job Search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NMA</w:t>
            </w:r>
          </w:p>
        </w:tc>
        <w:tc>
          <w:tcPr>
            <w:tcBorders>
              <w:top w:val="none" w:color="000000" w:sz="0"/>
              <w:left w:val="none" w:color="000000" w:sz="0"/>
              <w:bottom w:val="none" w:color="000000" w:sz="0"/>
              <w:right w:val="none" w:color="000000" w:sz="0"/>
            </w:tcBorders>
            <w:vAlign w:val="top"/>
          </w:tcPr>
          <w:p>
            <w:r>
              <w:t xml:space="preserve">Mature Age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NSA</w:t>
            </w:r>
          </w:p>
        </w:tc>
        <w:tc>
          <w:tcPr>
            <w:tcBorders>
              <w:top w:val="none" w:color="000000" w:sz="0"/>
              <w:left w:val="none" w:color="000000" w:sz="0"/>
              <w:bottom w:val="none" w:color="000000" w:sz="0"/>
              <w:right w:val="none" w:color="000000" w:sz="0"/>
            </w:tcBorders>
            <w:vAlign w:val="top"/>
          </w:tcPr>
          <w:p>
            <w:r>
              <w:t xml:space="preserve">Newstart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PGA</w:t>
            </w:r>
          </w:p>
        </w:tc>
        <w:tc>
          <w:tcPr>
            <w:tcBorders>
              <w:top w:val="none" w:color="000000" w:sz="0"/>
              <w:left w:val="none" w:color="000000" w:sz="0"/>
              <w:bottom w:val="none" w:color="000000" w:sz="0"/>
              <w:right w:val="none" w:color="000000" w:sz="0"/>
            </w:tcBorders>
            <w:vAlign w:val="top"/>
          </w:tcPr>
          <w:p>
            <w:r>
              <w:t xml:space="preserve">Parenting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PPP</w:t>
            </w:r>
          </w:p>
        </w:tc>
        <w:tc>
          <w:tcPr>
            <w:tcBorders>
              <w:top w:val="none" w:color="000000" w:sz="0"/>
              <w:left w:val="none" w:color="000000" w:sz="0"/>
              <w:bottom w:val="none" w:color="000000" w:sz="0"/>
              <w:right w:val="none" w:color="000000" w:sz="0"/>
            </w:tcBorders>
            <w:vAlign w:val="top"/>
          </w:tcPr>
          <w:p>
            <w:r>
              <w:t xml:space="preserve">Parenting Payment Partnered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PPS</w:t>
            </w:r>
          </w:p>
        </w:tc>
        <w:tc>
          <w:tcPr>
            <w:tcBorders>
              <w:top w:val="none" w:color="000000" w:sz="0"/>
              <w:left w:val="none" w:color="000000" w:sz="0"/>
              <w:bottom w:val="none" w:color="000000" w:sz="0"/>
              <w:right w:val="none" w:color="000000" w:sz="0"/>
            </w:tcBorders>
            <w:vAlign w:val="top"/>
          </w:tcPr>
          <w:p>
            <w:r>
              <w:t xml:space="preserve">Parenting Payment 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PTA</w:t>
            </w:r>
          </w:p>
        </w:tc>
        <w:tc>
          <w:tcPr>
            <w:tcBorders>
              <w:top w:val="none" w:color="000000" w:sz="0"/>
              <w:left w:val="none" w:color="000000" w:sz="0"/>
              <w:bottom w:val="none" w:color="000000" w:sz="0"/>
              <w:right w:val="none" w:color="000000" w:sz="0"/>
            </w:tcBorders>
            <w:vAlign w:val="top"/>
          </w:tcPr>
          <w:p>
            <w:r>
              <w:t xml:space="preserve">Partner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SKA</w:t>
            </w:r>
          </w:p>
        </w:tc>
        <w:tc>
          <w:tcPr>
            <w:tcBorders>
              <w:top w:val="none" w:color="000000" w:sz="0"/>
              <w:left w:val="none" w:color="000000" w:sz="0"/>
              <w:bottom w:val="none" w:color="000000" w:sz="0"/>
              <w:right w:val="none" w:color="000000" w:sz="0"/>
            </w:tcBorders>
            <w:vAlign w:val="top"/>
          </w:tcPr>
          <w:p>
            <w:r>
              <w:t xml:space="preserve">Sickness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SPL</w:t>
            </w:r>
          </w:p>
        </w:tc>
        <w:tc>
          <w:tcPr>
            <w:tcBorders>
              <w:top w:val="none" w:color="000000" w:sz="0"/>
              <w:left w:val="none" w:color="000000" w:sz="0"/>
              <w:bottom w:val="none" w:color="000000" w:sz="0"/>
              <w:right w:val="none" w:color="000000" w:sz="0"/>
            </w:tcBorders>
            <w:vAlign w:val="top"/>
          </w:tcPr>
          <w:p>
            <w:r>
              <w:t xml:space="preserve">Special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WDA</w:t>
            </w:r>
          </w:p>
        </w:tc>
        <w:tc>
          <w:tcPr>
            <w:tcBorders>
              <w:top w:val="none" w:color="000000" w:sz="0"/>
              <w:left w:val="none" w:color="000000" w:sz="0"/>
              <w:bottom w:val="none" w:color="000000" w:sz="0"/>
              <w:right w:val="none" w:color="000000" w:sz="0"/>
            </w:tcBorders>
            <w:vAlign w:val="top"/>
          </w:tcPr>
          <w:p>
            <w:r>
              <w:t xml:space="preserve">Widow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WFA</w:t>
            </w:r>
          </w:p>
        </w:tc>
        <w:tc>
          <w:tcPr>
            <w:tcBorders>
              <w:top w:val="none" w:color="000000" w:sz="0"/>
              <w:left w:val="none" w:color="000000" w:sz="0"/>
              <w:bottom w:val="none" w:color="000000" w:sz="0"/>
              <w:right w:val="none" w:color="000000" w:sz="0"/>
            </w:tcBorders>
            <w:vAlign w:val="top"/>
          </w:tcPr>
          <w:p>
            <w:r>
              <w:t xml:space="preserve">Wife's Pension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WFD</w:t>
            </w:r>
          </w:p>
        </w:tc>
        <w:tc>
          <w:tcPr>
            <w:tcBorders>
              <w:top w:val="none" w:color="000000" w:sz="0"/>
              <w:left w:val="none" w:color="000000" w:sz="0"/>
              <w:bottom w:val="none" w:color="000000" w:sz="0"/>
              <w:right w:val="none" w:color="000000" w:sz="0"/>
            </w:tcBorders>
            <w:vAlign w:val="top"/>
          </w:tcPr>
          <w:p>
            <w:r>
              <w:t xml:space="preserve">Wife's Pension (Disability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WID</w:t>
            </w:r>
          </w:p>
        </w:tc>
        <w:tc>
          <w:tcPr>
            <w:tcBorders>
              <w:top w:val="none" w:color="000000" w:sz="0"/>
              <w:left w:val="none" w:color="000000" w:sz="0"/>
              <w:bottom w:val="none" w:color="000000" w:sz="0"/>
              <w:right w:val="none" w:color="000000" w:sz="0"/>
            </w:tcBorders>
            <w:vAlign w:val="top"/>
          </w:tcPr>
          <w:p>
            <w:r>
              <w:t xml:space="preserve">Widow's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YLA</w:t>
            </w:r>
          </w:p>
        </w:tc>
        <w:tc>
          <w:tcPr>
            <w:tcBorders>
              <w:top w:val="none" w:color="000000" w:sz="0"/>
              <w:left w:val="none" w:color="000000" w:sz="0"/>
              <w:bottom w:val="none" w:color="000000" w:sz="0"/>
              <w:right w:val="none" w:color="000000" w:sz="0"/>
            </w:tcBorders>
            <w:vAlign w:val="top"/>
          </w:tcPr>
          <w:p>
            <w:r>
              <w:t xml:space="preserve">Youth Allowance (Apprentice)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YLO</w:t>
            </w:r>
          </w:p>
        </w:tc>
        <w:tc>
          <w:tcPr>
            <w:tcBorders>
              <w:top w:val="none" w:color="000000" w:sz="0"/>
              <w:left w:val="none" w:color="000000" w:sz="0"/>
              <w:bottom w:val="none" w:color="000000" w:sz="0"/>
              <w:right w:val="none" w:color="000000" w:sz="0"/>
            </w:tcBorders>
            <w:vAlign w:val="top"/>
          </w:tcPr>
          <w:p>
            <w:r>
              <w:t xml:space="preserve">Youth Allowance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YLS</w:t>
            </w:r>
          </w:p>
        </w:tc>
        <w:tc>
          <w:tcPr>
            <w:tcBorders>
              <w:top w:val="none" w:color="000000" w:sz="0"/>
              <w:left w:val="none" w:color="000000" w:sz="0"/>
              <w:bottom w:val="none" w:color="000000" w:sz="0"/>
              <w:right w:val="none" w:color="000000" w:sz="0"/>
            </w:tcBorders>
            <w:vAlign w:val="top"/>
          </w:tcPr>
          <w:p>
            <w:r>
              <w:t xml:space="preserve">Youth Allowance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 2016. A guide to Australian Government payments. Viewed 9 September 2016, </w:t>
            </w:r>
            <w:hyperlink w:history="true" r:id="R7cb99856556e49a5">
              <w:r>
                <w:rPr>
                  <w:rStyle w:val="Hyperlink"/>
                </w:rPr>
                <w:t xml:space="preserve">https://www.humanservices.gov.au/corporate/publications-and-resources/guide-australian-government-payments</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402aca8142a4c3f">
              <w:r>
                <w:rPr>
                  <w:rStyle w:val="Hyperlink"/>
                </w:rPr>
                <w:t xml:space="preserve">Recipient—Centrelink benefit type, code AAA</w:t>
              </w:r>
            </w:hyperlink>
          </w:p>
          <w:p>
            <w:pPr>
              <w:pStyle w:val="registration-status"/>
              <w:spacing w:before="0" w:after="0"/>
            </w:pPr>
            <w:hyperlink w:history="true" r:id="Rff58b28073764a01">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2138fb1ce74ab5">
              <w:r>
                <w:rPr>
                  <w:rStyle w:val="Hyperlink"/>
                </w:rPr>
                <w:t xml:space="preserve">Income support information Cluster</w:t>
              </w:r>
            </w:hyperlink>
          </w:p>
          <w:p>
            <w:pPr>
              <w:pStyle w:val="registration-status"/>
              <w:spacing w:before="0" w:after="0"/>
            </w:pPr>
            <w:hyperlink w:history="true" r:id="R5674e1be2ec14ef2">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a person having a partner.</w:t>
            </w:r>
          </w:p>
          <w:p>
            <w:r>
              <w:br/>
            </w:r>
            <w:r>
              <w:rPr>
                <w:rStyle w:val="row-content"/>
                <w:b/>
                <w:i/>
              </w:rPr>
              <w:t xml:space="preserve">DSS specific information: </w:t>
            </w:r>
          </w:p>
          <w:p>
            <w:r>
              <w:rPr>
                <w:rStyle w:val="row-content"/>
              </w:rPr>
              <w:t xml:space="preserve">Partner's Centrelink benefit type refers to the variable PTNR_BEN_TYPE_CODE in the PIA research data set.</w:t>
            </w:r>
          </w:p>
          <w:p>
            <w:r>
              <w:br/>
            </w:r>
            <w:r>
              <w:br/>
            </w:r>
          </w:p>
        </w:tc>
      </w:tr>
    </w:tbl>
    <w:p/>
    <w:tbl>
      <w:tblPr>
        <w:tblStyle w:val="TableGrid"/>
        <w:tblW w:w="0" w:type="auto"/>
      </w:tblPr>
    </w:tbl>
    <w:p>
      <w:r>
        <w:br/>
      </w:r>
    </w:p>
    <w:sectPr>
      <w:footerReference xmlns:r="http://schemas.openxmlformats.org/officeDocument/2006/relationships" w:type="default" r:id="R7b420137386f4a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639301</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b1a478cefe4f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420137386f4a63" /><Relationship Type="http://schemas.openxmlformats.org/officeDocument/2006/relationships/header" Target="/word/header1.xml" Id="R7f899c9321d94672" /><Relationship Type="http://schemas.openxmlformats.org/officeDocument/2006/relationships/settings" Target="/word/settings.xml" Id="R80b6ccea4d234b2d" /><Relationship Type="http://schemas.openxmlformats.org/officeDocument/2006/relationships/styles" Target="/word/styles.xml" Id="R2e0c3c692cbb4955" /><Relationship Type="http://schemas.openxmlformats.org/officeDocument/2006/relationships/hyperlink" Target="https://meteor.aihw.gov.au/RegistrationAuthority/7" TargetMode="External" Id="R5fb725b2ff894e93" /><Relationship Type="http://schemas.openxmlformats.org/officeDocument/2006/relationships/hyperlink" Target="https://meteor.aihw.gov.au/content/644275" TargetMode="External" Id="R01e57356b84343b5" /><Relationship Type="http://schemas.openxmlformats.org/officeDocument/2006/relationships/hyperlink" Target="https://meteor.aihw.gov.au/RegistrationAuthority/7" TargetMode="External" Id="Rab25913a65c34092" /><Relationship Type="http://schemas.openxmlformats.org/officeDocument/2006/relationships/hyperlink" Target="https://meteor.aihw.gov.au/content/645097" TargetMode="External" Id="Rf0aea47226ce4d40" /><Relationship Type="http://schemas.openxmlformats.org/officeDocument/2006/relationships/hyperlink" Target="https://meteor.aihw.gov.au/content/644273" TargetMode="External" Id="R91711c04d16640b1" /><Relationship Type="http://schemas.openxmlformats.org/officeDocument/2006/relationships/hyperlink" Target="https://meteor.aihw.gov.au/content/639228" TargetMode="External" Id="Raa6b1043ae9a4f9d" /><Relationship Type="http://schemas.openxmlformats.org/officeDocument/2006/relationships/hyperlink" Target="https://meteor.aihw.gov.au/RegistrationAuthority/7" TargetMode="External" Id="Rc617c0fccebe4e42" /><Relationship Type="http://schemas.openxmlformats.org/officeDocument/2006/relationships/hyperlink" Target="https://www.humanservices.gov.au/corporate/publications-and-resources/guide-australian-government-payments" TargetMode="External" Id="R7cb99856556e49a5" /><Relationship Type="http://schemas.openxmlformats.org/officeDocument/2006/relationships/hyperlink" Target="https://meteor.aihw.gov.au/content/639230" TargetMode="External" Id="Re402aca8142a4c3f" /><Relationship Type="http://schemas.openxmlformats.org/officeDocument/2006/relationships/hyperlink" Target="https://meteor.aihw.gov.au/RegistrationAuthority/7" TargetMode="External" Id="Rff58b28073764a01" /><Relationship Type="http://schemas.openxmlformats.org/officeDocument/2006/relationships/hyperlink" Target="https://meteor.aihw.gov.au/content/650619" TargetMode="External" Id="R3d2138fb1ce74ab5" /><Relationship Type="http://schemas.openxmlformats.org/officeDocument/2006/relationships/hyperlink" Target="https://meteor.aihw.gov.au/RegistrationAuthority/7" TargetMode="External" Id="R5674e1be2ec14ef2" /></Relationships>
</file>

<file path=word/_rels/header1.xml.rels>&#65279;<?xml version="1.0" encoding="utf-8"?><Relationships xmlns="http://schemas.openxmlformats.org/package/2006/relationships"><Relationship Type="http://schemas.openxmlformats.org/officeDocument/2006/relationships/image" Target="/media/image.png" Id="Rd0b1a478cefe4fb5" /></Relationships>
</file>