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248c9367d6b4b8c" /></Relationships>
</file>

<file path=word/document.xml><?xml version="1.0" encoding="utf-8"?>
<w:document xmlns:r="http://schemas.openxmlformats.org/officeDocument/2006/relationships" xmlns:w="http://schemas.openxmlformats.org/wordprocessingml/2006/main">
  <w:body>
    <w:p>
      <w:pPr>
        <w:pStyle w:val="Title"/>
      </w:pPr>
      <w:r>
        <w:t>Australian Atlas of Healthcare Variation:  Number of potentially preventable hospitalisations - cellulitis, per 100,000 people, 2014-15</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Atlas of Healthcare Variation:  Number of potentially preventable hospitalisations - cellulitis, per 100,000 people, 2014-15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Cellulitis hospitalisations, 2014-15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638588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9cc288d36c040b3">
              <w:r>
                <w:rPr>
                  <w:rStyle w:val="Hyperlink"/>
                  <w:color w:val="244061"/>
                </w:rPr>
                <w:t xml:space="preserve">Australian Commission on Safety and Quality in Health Care</w:t>
              </w:r>
            </w:hyperlink>
            <w:r>
              <w:rPr>
                <w:rStyle w:val="row-content"/>
                <w:color w:val="244061"/>
              </w:rPr>
              <w:t xml:space="preserve">, Standard 07/06/2017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potentially preventable hospitalisations - cellulitis, per 100,000 people, age and sex standardised. Data are disaggregated by the area in which the person lives.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88fd229a40734cf2">
              <w:r>
                <w:rPr>
                  <w:rStyle w:val="Hyperlink"/>
                </w:rPr>
                <w:t xml:space="preserve">Australian Atlas of Healthcare Variation 2017</w:t>
              </w:r>
            </w:hyperlink>
          </w:p>
          <w:p>
            <w:pPr>
              <w:spacing w:before="0" w:after="0"/>
            </w:pPr>
            <w:r>
              <w:rPr>
                <w:rStyle w:val="row-content"/>
                <w:color w:val="244061"/>
              </w:rPr>
              <w:t xml:space="preserve">       </w:t>
            </w:r>
            <w:hyperlink w:history="true" r:id="R3001de617c544ad8">
              <w:r>
                <w:rPr>
                  <w:rStyle w:val="Hyperlink"/>
                  <w:color w:val="244061"/>
                </w:rPr>
                <w:t xml:space="preserve">Australian Commission on Safety and Quality in Health Care</w:t>
              </w:r>
            </w:hyperlink>
            <w:r>
              <w:rPr>
                <w:rStyle w:val="row-content"/>
                <w:color w:val="244061"/>
              </w:rPr>
              <w:t xml:space="preserve">, Standard 07/06/2017</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All ages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Inclusion codes, description and additional requirements:</w:t>
            </w:r>
          </w:p>
          <w:tbl>
            <w:tblPr>
              <w:tblStyle w:val="TableGrid"/>
              <w:tblW w:w="5000" w:type="pct"/>
              <w:tblLayout w:type="autofit"/>
            </w:tblPr>
            <w:tblGrid>
              <w:gridCol/>
              <w:gridCol/>
              <w:gridCol/>
            </w:tblGrid>
            <w:tr>
              <w:trPr/>
              <w:tc>
                <w:tcPr>
                  <w:tcW w:w="1100" w:type="pct"/>
                  <w:vAlign w:val="top"/>
                </w:tcPr>
                <w:p>
                  <w:pPr/>
                  <w:r>
                    <w:rPr>
                      <w:rStyle w:val="row-content-rich-text"/>
                      <w:b/>
                    </w:rPr>
                    <w:t xml:space="preserve">ICD-10-AM 8th edition code</w:t>
                  </w:r>
                </w:p>
              </w:tc>
              <w:tc>
                <w:tcPr>
                  <w:tcW w:w="1350" w:type="pct"/>
                  <w:vAlign w:val="top"/>
                </w:tcPr>
                <w:p>
                  <w:r>
                    <w:rPr>
                      <w:b/>
                    </w:rPr>
                    <w:t xml:space="preserve">ICD-10-AM Description</w:t>
                  </w:r>
                </w:p>
              </w:tc>
              <w:tc>
                <w:tcPr>
                  <w:tcW w:w="2500" w:type="pct"/>
                  <w:vAlign w:val="top"/>
                </w:tcPr>
                <w:p>
                  <w:r>
                    <w:rPr>
                      <w:b/>
                    </w:rPr>
                    <w:t xml:space="preserve">Additional requirements</w:t>
                  </w:r>
                </w:p>
              </w:tc>
            </w:tr>
            <w:tr>
              <w:trPr/>
              <w:tc>
                <w:tcPr>
                  <w:tcW w:w="1100" w:type="pct"/>
                  <w:vAlign w:val="top"/>
                </w:tcPr>
                <w:p>
                  <w:r>
                    <w:t xml:space="preserve">L02.0</w:t>
                  </w:r>
                </w:p>
              </w:tc>
              <w:tc>
                <w:tcPr>
                  <w:tcW w:w="1350" w:type="pct"/>
                  <w:vAlign w:val="top"/>
                </w:tcPr>
                <w:p>
                  <w:r>
                    <w:t xml:space="preserve">Cutaneous abscess, furuncle and carbuncle of face</w:t>
                  </w:r>
                </w:p>
              </w:tc>
              <w:tc>
                <w:tcPr>
                  <w:tcW w:w="2500" w:type="pct"/>
                  <w:vMerge w:val="restart"/>
                  <w:vAlign w:val="top"/>
                </w:tcPr>
                <w:p>
                  <w:r>
                    <w:t xml:space="preserve">As principal diagnosis.</w:t>
                  </w:r>
                </w:p>
                <w:p>
                  <w:r>
                    <w:t xml:space="preserve">Exclude cases with any procedure except those in blocks 1820 to 2016, or if procedure is 30216-00, 30216-01, 30216-02, 30676-00, 30223-01, 30223-02, 30064-00, 90660-00, 90661-00, and this is the only listed procedure</w:t>
                  </w:r>
                </w:p>
              </w:tc>
            </w:tr>
            <w:tr>
              <w:trPr/>
              <w:tc>
                <w:tcPr>
                  <w:tcW w:w="1100" w:type="pct"/>
                  <w:vAlign w:val="top"/>
                </w:tcPr>
                <w:p>
                  <w:r>
                    <w:t xml:space="preserve">L02.1</w:t>
                  </w:r>
                </w:p>
              </w:tc>
              <w:tc>
                <w:tcPr>
                  <w:tcW w:w="1350" w:type="pct"/>
                  <w:vMerge/>
                </w:tcPr>
                <w:p/>
              </w:tc>
              <w:tc>
                <w:tcPr>
                  <w:tcW w:w="2500" w:type="pct"/>
                  <w:vAlign w:val="top"/>
                </w:tcPr>
                <w:p>
                  <w:r>
                    <w:t xml:space="preserve">Cutaneous abscess, furuncle and carbuncle of neck</w:t>
                  </w:r>
                </w:p>
              </w:tc>
            </w:tr>
            <w:tr>
              <w:trPr/>
              <w:tc>
                <w:tcPr>
                  <w:tcW w:w="1100" w:type="pct"/>
                  <w:vAlign w:val="top"/>
                </w:tcPr>
                <w:p>
                  <w:r>
                    <w:t xml:space="preserve">L02.2</w:t>
                  </w:r>
                </w:p>
              </w:tc>
              <w:tc>
                <w:tcPr>
                  <w:tcW w:w="1350" w:type="pct"/>
                  <w:vMerge/>
                </w:tcPr>
                <w:p/>
              </w:tc>
              <w:tc>
                <w:tcPr>
                  <w:tcW w:w="2500" w:type="pct"/>
                  <w:vAlign w:val="top"/>
                </w:tcPr>
                <w:p>
                  <w:r>
                    <w:t xml:space="preserve">Cutaneous abscess, furuncle and carbuncle of trunk</w:t>
                  </w:r>
                </w:p>
              </w:tc>
            </w:tr>
            <w:tr>
              <w:trPr/>
              <w:tc>
                <w:tcPr>
                  <w:tcW w:w="1100" w:type="pct"/>
                  <w:vAlign w:val="top"/>
                </w:tcPr>
                <w:p>
                  <w:r>
                    <w:t xml:space="preserve">L02.3</w:t>
                  </w:r>
                </w:p>
              </w:tc>
              <w:tc>
                <w:tcPr>
                  <w:tcW w:w="1350" w:type="pct"/>
                  <w:vMerge/>
                </w:tcPr>
                <w:p/>
              </w:tc>
              <w:tc>
                <w:tcPr>
                  <w:tcW w:w="2500" w:type="pct"/>
                  <w:vAlign w:val="top"/>
                </w:tcPr>
                <w:p>
                  <w:r>
                    <w:t xml:space="preserve">Cutaneous abscess, furuncle and carbuncle of buttock</w:t>
                  </w:r>
                </w:p>
              </w:tc>
            </w:tr>
            <w:tr>
              <w:trPr/>
              <w:tc>
                <w:tcPr>
                  <w:tcW w:w="1100" w:type="pct"/>
                  <w:vAlign w:val="top"/>
                </w:tcPr>
                <w:p>
                  <w:r>
                    <w:t xml:space="preserve">L02.4</w:t>
                  </w:r>
                </w:p>
              </w:tc>
              <w:tc>
                <w:tcPr>
                  <w:tcW w:w="1350" w:type="pct"/>
                  <w:vMerge/>
                </w:tcPr>
                <w:p/>
              </w:tc>
              <w:tc>
                <w:tcPr>
                  <w:tcW w:w="2500" w:type="pct"/>
                  <w:vAlign w:val="top"/>
                </w:tcPr>
                <w:p>
                  <w:r>
                    <w:t xml:space="preserve">Cutaneous abscess, furuncle and carbuncle of limb</w:t>
                  </w:r>
                </w:p>
              </w:tc>
            </w:tr>
            <w:tr>
              <w:trPr/>
              <w:tc>
                <w:tcPr>
                  <w:tcW w:w="1100" w:type="pct"/>
                  <w:vAlign w:val="top"/>
                </w:tcPr>
                <w:p>
                  <w:r>
                    <w:t xml:space="preserve">L02.8</w:t>
                  </w:r>
                </w:p>
              </w:tc>
              <w:tc>
                <w:tcPr>
                  <w:tcW w:w="1350" w:type="pct"/>
                  <w:vMerge/>
                </w:tcPr>
                <w:p/>
              </w:tc>
              <w:tc>
                <w:tcPr>
                  <w:tcW w:w="2500" w:type="pct"/>
                  <w:vAlign w:val="top"/>
                </w:tcPr>
                <w:p>
                  <w:r>
                    <w:t xml:space="preserve">Cutaneous abscess, furuncle and carbuncle of other sites</w:t>
                  </w:r>
                </w:p>
              </w:tc>
            </w:tr>
            <w:tr>
              <w:trPr/>
              <w:tc>
                <w:tcPr>
                  <w:tcW w:w="1100" w:type="pct"/>
                  <w:vAlign w:val="top"/>
                </w:tcPr>
                <w:p>
                  <w:r>
                    <w:t xml:space="preserve">L02.9</w:t>
                  </w:r>
                </w:p>
              </w:tc>
              <w:tc>
                <w:tcPr>
                  <w:tcW w:w="1350" w:type="pct"/>
                  <w:vMerge/>
                </w:tcPr>
                <w:p/>
              </w:tc>
              <w:tc>
                <w:tcPr>
                  <w:tcW w:w="2500" w:type="pct"/>
                  <w:vAlign w:val="top"/>
                </w:tcPr>
                <w:p>
                  <w:r>
                    <w:t xml:space="preserve">Cutaneous abscess, furuncle and carbuncle, unspecified</w:t>
                  </w:r>
                </w:p>
              </w:tc>
            </w:tr>
            <w:tr>
              <w:trPr/>
              <w:tc>
                <w:tcPr>
                  <w:tcW w:w="1100" w:type="pct"/>
                  <w:vAlign w:val="top"/>
                </w:tcPr>
                <w:p>
                  <w:r>
                    <w:t xml:space="preserve">L03.01</w:t>
                  </w:r>
                </w:p>
              </w:tc>
              <w:tc>
                <w:tcPr>
                  <w:tcW w:w="1350" w:type="pct"/>
                  <w:vMerge/>
                </w:tcPr>
                <w:p/>
              </w:tc>
              <w:tc>
                <w:tcPr>
                  <w:tcW w:w="2500" w:type="pct"/>
                  <w:vAlign w:val="top"/>
                </w:tcPr>
                <w:p>
                  <w:r>
                    <w:t xml:space="preserve">Cellulitis of finger</w:t>
                  </w:r>
                </w:p>
              </w:tc>
            </w:tr>
            <w:tr>
              <w:trPr/>
              <w:tc>
                <w:tcPr>
                  <w:tcW w:w="1100" w:type="pct"/>
                  <w:vAlign w:val="top"/>
                </w:tcPr>
                <w:p>
                  <w:r>
                    <w:t xml:space="preserve">L03.02</w:t>
                  </w:r>
                </w:p>
              </w:tc>
              <w:tc>
                <w:tcPr>
                  <w:tcW w:w="1350" w:type="pct"/>
                  <w:vMerge/>
                </w:tcPr>
                <w:p/>
              </w:tc>
              <w:tc>
                <w:tcPr>
                  <w:tcW w:w="2500" w:type="pct"/>
                  <w:vAlign w:val="top"/>
                </w:tcPr>
                <w:p>
                  <w:r>
                    <w:t xml:space="preserve">Cellulitis of toe</w:t>
                  </w:r>
                </w:p>
              </w:tc>
            </w:tr>
            <w:tr>
              <w:trPr/>
              <w:tc>
                <w:tcPr>
                  <w:tcW w:w="1100" w:type="pct"/>
                  <w:vAlign w:val="top"/>
                </w:tcPr>
                <w:p>
                  <w:r>
                    <w:t xml:space="preserve">L03.10</w:t>
                  </w:r>
                </w:p>
              </w:tc>
              <w:tc>
                <w:tcPr>
                  <w:tcW w:w="1350" w:type="pct"/>
                  <w:vMerge/>
                </w:tcPr>
                <w:p/>
              </w:tc>
              <w:tc>
                <w:tcPr>
                  <w:tcW w:w="2500" w:type="pct"/>
                  <w:vAlign w:val="top"/>
                </w:tcPr>
                <w:p>
                  <w:r>
                    <w:t xml:space="preserve">Cellulitis of upper limb</w:t>
                  </w:r>
                </w:p>
              </w:tc>
            </w:tr>
            <w:tr>
              <w:trPr/>
              <w:tc>
                <w:tcPr>
                  <w:tcW w:w="1100" w:type="pct"/>
                  <w:vAlign w:val="top"/>
                </w:tcPr>
                <w:p>
                  <w:r>
                    <w:t xml:space="preserve">L03.11</w:t>
                  </w:r>
                </w:p>
              </w:tc>
              <w:tc>
                <w:tcPr>
                  <w:tcW w:w="1350" w:type="pct"/>
                  <w:vMerge/>
                </w:tcPr>
                <w:p/>
              </w:tc>
              <w:tc>
                <w:tcPr>
                  <w:tcW w:w="2500" w:type="pct"/>
                  <w:vAlign w:val="top"/>
                </w:tcPr>
                <w:p>
                  <w:r>
                    <w:t xml:space="preserve">Cellulitis of lower limb</w:t>
                  </w:r>
                </w:p>
              </w:tc>
            </w:tr>
            <w:tr>
              <w:trPr/>
              <w:tc>
                <w:tcPr>
                  <w:tcW w:w="1100" w:type="pct"/>
                  <w:vAlign w:val="top"/>
                </w:tcPr>
                <w:p>
                  <w:r>
                    <w:t xml:space="preserve">L03.2</w:t>
                  </w:r>
                </w:p>
              </w:tc>
              <w:tc>
                <w:tcPr>
                  <w:tcW w:w="1350" w:type="pct"/>
                  <w:vMerge/>
                </w:tcPr>
                <w:p/>
              </w:tc>
              <w:tc>
                <w:tcPr>
                  <w:tcW w:w="2500" w:type="pct"/>
                  <w:vAlign w:val="top"/>
                </w:tcPr>
                <w:p>
                  <w:r>
                    <w:t xml:space="preserve">Cellulitis of face</w:t>
                  </w:r>
                </w:p>
              </w:tc>
            </w:tr>
            <w:tr>
              <w:trPr/>
              <w:tc>
                <w:tcPr>
                  <w:tcW w:w="1100" w:type="pct"/>
                  <w:vAlign w:val="top"/>
                </w:tcPr>
                <w:p>
                  <w:r>
                    <w:t xml:space="preserve">L03.3</w:t>
                  </w:r>
                </w:p>
              </w:tc>
              <w:tc>
                <w:tcPr>
                  <w:tcW w:w="1350" w:type="pct"/>
                  <w:vMerge/>
                </w:tcPr>
                <w:p/>
              </w:tc>
              <w:tc>
                <w:tcPr>
                  <w:tcW w:w="2500" w:type="pct"/>
                  <w:vAlign w:val="top"/>
                </w:tcPr>
                <w:p>
                  <w:r>
                    <w:t xml:space="preserve">Cellulitis of trunk</w:t>
                  </w:r>
                </w:p>
              </w:tc>
            </w:tr>
            <w:tr>
              <w:trPr/>
              <w:tc>
                <w:tcPr>
                  <w:tcW w:w="1100" w:type="pct"/>
                  <w:vAlign w:val="top"/>
                </w:tcPr>
                <w:p>
                  <w:r>
                    <w:t xml:space="preserve">L03.8</w:t>
                  </w:r>
                </w:p>
              </w:tc>
              <w:tc>
                <w:tcPr>
                  <w:tcW w:w="1350" w:type="pct"/>
                  <w:vMerge/>
                </w:tcPr>
                <w:p/>
              </w:tc>
              <w:tc>
                <w:tcPr>
                  <w:tcW w:w="2500" w:type="pct"/>
                  <w:vAlign w:val="top"/>
                </w:tcPr>
                <w:p>
                  <w:r>
                    <w:t xml:space="preserve">Cellulitis of other sites</w:t>
                  </w:r>
                </w:p>
              </w:tc>
            </w:tr>
            <w:tr>
              <w:trPr/>
              <w:tc>
                <w:tcPr>
                  <w:tcW w:w="1100" w:type="pct"/>
                  <w:vAlign w:val="top"/>
                </w:tcPr>
                <w:p>
                  <w:r>
                    <w:t xml:space="preserve">L03.9</w:t>
                  </w:r>
                </w:p>
              </w:tc>
              <w:tc>
                <w:tcPr>
                  <w:tcW w:w="1350" w:type="pct"/>
                  <w:vMerge/>
                </w:tcPr>
                <w:p/>
              </w:tc>
              <w:tc>
                <w:tcPr>
                  <w:tcW w:w="2500" w:type="pct"/>
                  <w:vAlign w:val="top"/>
                </w:tcPr>
                <w:p>
                  <w:r>
                    <w:t xml:space="preserve">Cellulitis, unspecified</w:t>
                  </w:r>
                </w:p>
              </w:tc>
            </w:tr>
            <w:tr>
              <w:trPr/>
              <w:tc>
                <w:tcPr>
                  <w:tcW w:w="1100" w:type="pct"/>
                  <w:vAlign w:val="top"/>
                </w:tcPr>
                <w:p>
                  <w:r>
                    <w:t xml:space="preserve">L04.0</w:t>
                  </w:r>
                </w:p>
              </w:tc>
              <w:tc>
                <w:tcPr>
                  <w:tcW w:w="1350" w:type="pct"/>
                  <w:vAlign w:val="top"/>
                </w:tcPr>
                <w:p>
                  <w:r>
                    <w:t xml:space="preserve">Acute lymphadenitis of face, head and neck</w:t>
                  </w:r>
                </w:p>
              </w:tc>
              <w:tc>
                <w:tcPr>
                  <w:tcW w:w="2500" w:type="pct"/>
                  <w:vMerge w:val="restart"/>
                  <w:vAlign w:val="top"/>
                </w:tcPr>
                <w:p>
                  <w:r>
                    <w:t xml:space="preserve">As principal diagnosis.</w:t>
                  </w:r>
                </w:p>
                <w:p>
                  <w:r>
                    <w:t xml:space="preserve">Exclude cases with any procedure except those in blocks 1820 to 2016, or if procedure is 30216-00, 30216-01, 30216-02, 30676-00, 30223-01, 30223-02, 30064-00, 90660-00, 90661-00, and this is the only listed procedure.</w:t>
                  </w:r>
                </w:p>
              </w:tc>
            </w:tr>
            <w:tr>
              <w:trPr/>
              <w:tc>
                <w:tcPr>
                  <w:tcW w:w="1100" w:type="pct"/>
                  <w:vAlign w:val="top"/>
                </w:tcPr>
                <w:p>
                  <w:r>
                    <w:t xml:space="preserve">L04.1</w:t>
                  </w:r>
                </w:p>
              </w:tc>
              <w:tc>
                <w:tcPr>
                  <w:tcW w:w="1350" w:type="pct"/>
                  <w:vMerge/>
                </w:tcPr>
                <w:p/>
              </w:tc>
              <w:tc>
                <w:tcPr>
                  <w:tcW w:w="2500" w:type="pct"/>
                  <w:vAlign w:val="top"/>
                </w:tcPr>
                <w:p>
                  <w:r>
                    <w:t xml:space="preserve">Acute lymphadenitis of trunk</w:t>
                  </w:r>
                </w:p>
              </w:tc>
            </w:tr>
            <w:tr>
              <w:trPr/>
              <w:tc>
                <w:tcPr>
                  <w:tcW w:w="1100" w:type="pct"/>
                  <w:vAlign w:val="top"/>
                </w:tcPr>
                <w:p>
                  <w:r>
                    <w:t xml:space="preserve">L04.2</w:t>
                  </w:r>
                </w:p>
              </w:tc>
              <w:tc>
                <w:tcPr>
                  <w:tcW w:w="1350" w:type="pct"/>
                  <w:vMerge/>
                </w:tcPr>
                <w:p/>
              </w:tc>
              <w:tc>
                <w:tcPr>
                  <w:tcW w:w="2500" w:type="pct"/>
                  <w:vAlign w:val="top"/>
                </w:tcPr>
                <w:p>
                  <w:r>
                    <w:t xml:space="preserve">Acute lymphadenitis of upper limb</w:t>
                  </w:r>
                </w:p>
              </w:tc>
            </w:tr>
            <w:tr>
              <w:trPr/>
              <w:tc>
                <w:tcPr>
                  <w:tcW w:w="1100" w:type="pct"/>
                  <w:vAlign w:val="top"/>
                </w:tcPr>
                <w:p>
                  <w:r>
                    <w:t xml:space="preserve">L04.3</w:t>
                  </w:r>
                </w:p>
              </w:tc>
              <w:tc>
                <w:tcPr>
                  <w:tcW w:w="1350" w:type="pct"/>
                  <w:vMerge/>
                </w:tcPr>
                <w:p/>
              </w:tc>
              <w:tc>
                <w:tcPr>
                  <w:tcW w:w="2500" w:type="pct"/>
                  <w:vAlign w:val="top"/>
                </w:tcPr>
                <w:p>
                  <w:r>
                    <w:t xml:space="preserve">Acute lymphadenitis of lower limb</w:t>
                  </w:r>
                </w:p>
              </w:tc>
            </w:tr>
            <w:tr>
              <w:trPr/>
              <w:tc>
                <w:tcPr>
                  <w:tcW w:w="1100" w:type="pct"/>
                  <w:vAlign w:val="top"/>
                </w:tcPr>
                <w:p>
                  <w:r>
                    <w:t xml:space="preserve">L04.8</w:t>
                  </w:r>
                </w:p>
              </w:tc>
              <w:tc>
                <w:tcPr>
                  <w:tcW w:w="1350" w:type="pct"/>
                  <w:vMerge/>
                </w:tcPr>
                <w:p/>
              </w:tc>
              <w:tc>
                <w:tcPr>
                  <w:tcW w:w="2500" w:type="pct"/>
                  <w:vAlign w:val="top"/>
                </w:tcPr>
                <w:p>
                  <w:r>
                    <w:t xml:space="preserve">Acute lymphadenitis of other sites</w:t>
                  </w:r>
                </w:p>
              </w:tc>
            </w:tr>
            <w:tr>
              <w:trPr/>
              <w:tc>
                <w:tcPr>
                  <w:tcW w:w="1100" w:type="pct"/>
                  <w:vAlign w:val="top"/>
                </w:tcPr>
                <w:p>
                  <w:r>
                    <w:t xml:space="preserve">L04.9</w:t>
                  </w:r>
                </w:p>
              </w:tc>
              <w:tc>
                <w:tcPr>
                  <w:tcW w:w="1350" w:type="pct"/>
                  <w:vMerge/>
                </w:tcPr>
                <w:p/>
              </w:tc>
              <w:tc>
                <w:tcPr>
                  <w:tcW w:w="2500" w:type="pct"/>
                  <w:vAlign w:val="top"/>
                </w:tcPr>
                <w:p>
                  <w:r>
                    <w:t xml:space="preserve">Acute lymphadenitis, unspecified</w:t>
                  </w:r>
                </w:p>
              </w:tc>
            </w:tr>
            <w:tr>
              <w:trPr/>
              <w:tc>
                <w:tcPr>
                  <w:tcW w:w="1100" w:type="pct"/>
                  <w:vAlign w:val="top"/>
                </w:tcPr>
                <w:p>
                  <w:r>
                    <w:t xml:space="preserve">L08.0</w:t>
                  </w:r>
                </w:p>
              </w:tc>
              <w:tc>
                <w:tcPr>
                  <w:tcW w:w="1350" w:type="pct"/>
                  <w:vAlign w:val="top"/>
                </w:tcPr>
                <w:p>
                  <w:r>
                    <w:t xml:space="preserve">Pyoderma</w:t>
                  </w:r>
                </w:p>
              </w:tc>
              <w:tc>
                <w:tcPr>
                  <w:tcW w:w="2500" w:type="pct"/>
                  <w:vMerge w:val="restart"/>
                  <w:vAlign w:val="top"/>
                </w:tcPr>
                <w:p>
                  <w:r>
                    <w:t xml:space="preserve">As principal diagnosis.</w:t>
                  </w:r>
                </w:p>
                <w:p>
                  <w:r>
                    <w:t xml:space="preserve">Exclude cases with any procedure except those in blocks 1820 to 2016, or if procedure is 30216-00, 30216-01, 30216-02, 30676-00, 30223-01, 30223-02, 30064-00, 90660-00, 90661-00, and this is the only listed procedure.</w:t>
                  </w:r>
                </w:p>
              </w:tc>
            </w:tr>
            <w:tr>
              <w:trPr/>
              <w:tc>
                <w:tcPr>
                  <w:tcW w:w="1100" w:type="pct"/>
                  <w:vAlign w:val="top"/>
                </w:tcPr>
                <w:p>
                  <w:r>
                    <w:t xml:space="preserve">L08.1</w:t>
                  </w:r>
                </w:p>
              </w:tc>
              <w:tc>
                <w:tcPr>
                  <w:tcW w:w="1350" w:type="pct"/>
                  <w:vMerge/>
                </w:tcPr>
                <w:p/>
              </w:tc>
              <w:tc>
                <w:tcPr>
                  <w:tcW w:w="2500" w:type="pct"/>
                  <w:vAlign w:val="top"/>
                </w:tcPr>
                <w:p>
                  <w:r>
                    <w:t xml:space="preserve">Erythrasma</w:t>
                  </w:r>
                </w:p>
              </w:tc>
            </w:tr>
            <w:tr>
              <w:trPr/>
              <w:tc>
                <w:tcPr>
                  <w:tcW w:w="1100" w:type="pct"/>
                  <w:vAlign w:val="top"/>
                </w:tcPr>
                <w:p>
                  <w:r>
                    <w:t xml:space="preserve">L08.8</w:t>
                  </w:r>
                </w:p>
              </w:tc>
              <w:tc>
                <w:tcPr>
                  <w:tcW w:w="1350" w:type="pct"/>
                  <w:vMerge/>
                </w:tcPr>
                <w:p/>
              </w:tc>
              <w:tc>
                <w:tcPr>
                  <w:tcW w:w="2500" w:type="pct"/>
                  <w:vAlign w:val="top"/>
                </w:tcPr>
                <w:p>
                  <w:r>
                    <w:t xml:space="preserve">Other specified local infections of skin and subcutaneous tissue</w:t>
                  </w:r>
                </w:p>
              </w:tc>
            </w:tr>
            <w:tr>
              <w:trPr/>
              <w:tc>
                <w:tcPr>
                  <w:tcW w:w="1100" w:type="pct"/>
                  <w:vAlign w:val="top"/>
                </w:tcPr>
                <w:p>
                  <w:r>
                    <w:t xml:space="preserve">L08.9</w:t>
                  </w:r>
                </w:p>
              </w:tc>
              <w:tc>
                <w:tcPr>
                  <w:tcW w:w="1350" w:type="pct"/>
                  <w:vMerge/>
                </w:tcPr>
                <w:p/>
              </w:tc>
              <w:tc>
                <w:tcPr>
                  <w:tcW w:w="2500" w:type="pct"/>
                  <w:vAlign w:val="top"/>
                </w:tcPr>
                <w:p>
                  <w:r>
                    <w:t xml:space="preserve">Local infection of skin and subcutaneous tissue, unspecified</w:t>
                  </w:r>
                </w:p>
              </w:tc>
            </w:tr>
            <w:tr>
              <w:trPr/>
              <w:tc>
                <w:tcPr>
                  <w:tcW w:w="1100" w:type="pct"/>
                  <w:vAlign w:val="top"/>
                </w:tcPr>
                <w:p>
                  <w:r>
                    <w:t xml:space="preserve">L88</w:t>
                  </w:r>
                </w:p>
              </w:tc>
              <w:tc>
                <w:tcPr>
                  <w:tcW w:w="1350" w:type="pct"/>
                  <w:vAlign w:val="top"/>
                </w:tcPr>
                <w:p>
                  <w:r>
                    <w:t xml:space="preserve">Pyoderma gangrenosum</w:t>
                  </w:r>
                </w:p>
              </w:tc>
              <w:tc>
                <w:tcPr>
                  <w:tcW w:w="2500" w:type="pct"/>
                  <w:vAlign w:val="top"/>
                </w:tcPr>
                <w:p>
                  <w:r>
                    <w:t xml:space="preserve">As principal diagnosis.</w:t>
                  </w:r>
                </w:p>
                <w:p>
                  <w:r>
                    <w:t xml:space="preserve">Exclude cases with any procedure except those in blocks 1820 to 2016, or if procedure is 30216-00, 30216-01, 30216-02, 30676-00, 30223-01, 30223-02, 30064-00, 90660-00, 90661-00, and this is the only listed procedure.</w:t>
                  </w:r>
                </w:p>
              </w:tc>
            </w:tr>
            <w:tr>
              <w:trPr/>
              <w:tc>
                <w:tcPr>
                  <w:tcW w:w="1100" w:type="pct"/>
                  <w:vAlign w:val="top"/>
                </w:tcPr>
                <w:p>
                  <w:r>
                    <w:t xml:space="preserve">L98.0</w:t>
                  </w:r>
                </w:p>
              </w:tc>
              <w:tc>
                <w:tcPr>
                  <w:tcW w:w="1350" w:type="pct"/>
                  <w:vAlign w:val="top"/>
                </w:tcPr>
                <w:p>
                  <w:r>
                    <w:t xml:space="preserve">Pyogenic granuloma</w:t>
                  </w:r>
                </w:p>
              </w:tc>
              <w:tc>
                <w:tcPr>
                  <w:tcW w:w="2500" w:type="pct"/>
                  <w:vAlign w:val="top"/>
                </w:tcPr>
                <w:p>
                  <w:r>
                    <w:t xml:space="preserve">As principal diagnosis.</w:t>
                  </w:r>
                </w:p>
                <w:p>
                  <w:r>
                    <w:t xml:space="preserve">Exclude cases with any procedure except those in blocks 1820 to 2016, or if procedure is 30216-00, 30216-01, 30216-02, 30676-00, 30223-01, 30223-02, 30064-00, 90660-00, 90661-00, and this is the only listed procedure.</w:t>
                  </w:r>
                </w:p>
              </w:tc>
            </w:tr>
            <w:tr>
              <w:trPr/>
              <w:tc>
                <w:tcPr>
                  <w:tcW w:w="1100" w:type="pct"/>
                  <w:vAlign w:val="top"/>
                </w:tcPr>
                <w:p>
                  <w:r>
                    <w:t xml:space="preserve">L98.3</w:t>
                  </w:r>
                </w:p>
              </w:tc>
              <w:tc>
                <w:tcPr>
                  <w:tcW w:w="1350" w:type="pct"/>
                  <w:vAlign w:val="top"/>
                </w:tcPr>
                <w:p>
                  <w:r>
                    <w:t xml:space="preserve">Eosinphilic cellulitis [Wells]</w:t>
                  </w:r>
                </w:p>
              </w:tc>
              <w:tc>
                <w:tcPr>
                  <w:tcW w:w="2500" w:type="pct"/>
                  <w:vAlign w:val="top"/>
                </w:tcPr>
                <w:p>
                  <w:r>
                    <w:t xml:space="preserve">As principal diagnosis.</w:t>
                  </w:r>
                </w:p>
                <w:p>
                  <w:r>
                    <w:t xml:space="preserve">Exclude cases with any procedure except those in blocks 1820 to 2016, or if procedure is 30216-00, 30216-01, 30216-02, 30676-00, 30223-01, 30223-02, 30064-00, 90660-00, 90661-00, and this is the only listed procedure.</w:t>
                  </w:r>
                </w:p>
              </w:tc>
            </w:tr>
          </w:tbl>
          <w:p>
            <w:r>
              <w:t xml:space="preserve"> </w:t>
            </w:r>
          </w:p>
          <w:p>
            <w:r>
              <w:rPr>
                <w:b/>
              </w:rPr>
              <w:t xml:space="preserve">Exclusion codes and description</w:t>
            </w:r>
          </w:p>
          <w:tbl>
            <w:tblPr>
              <w:tblStyle w:val="TableGrid"/>
              <w:tblW w:w="5000" w:type="pct"/>
              <w:tblLayout w:type="autofit"/>
            </w:tblPr>
            <w:tblGrid>
              <w:gridCol/>
              <w:gridCol/>
            </w:tblGrid>
            <w:tr>
              <w:trPr/>
              <w:tc>
                <w:tcPr>
                  <w:tcW w:w="1000" w:type="pct"/>
                  <w:vAlign w:val="top"/>
                </w:tcPr>
                <w:p>
                  <w:r>
                    <w:rPr>
                      <w:b/>
                    </w:rPr>
                    <w:t xml:space="preserve">Care type </w:t>
                  </w:r>
                </w:p>
              </w:tc>
              <w:tc>
                <w:tcPr>
                  <w:tcW w:w="4000" w:type="pct"/>
                  <w:vAlign w:val="top"/>
                </w:tcPr>
                <w:p>
                  <w:r>
                    <w:rPr>
                      <w:b/>
                    </w:rPr>
                    <w:t xml:space="preserve">Description</w:t>
                  </w:r>
                </w:p>
              </w:tc>
            </w:tr>
            <w:tr>
              <w:trPr/>
              <w:tc>
                <w:tcPr>
                  <w:tcW w:w="1000" w:type="pct"/>
                  <w:vAlign w:val="top"/>
                </w:tcPr>
                <w:p>
                  <w:r>
                    <w:t xml:space="preserve">7.3</w:t>
                  </w:r>
                </w:p>
              </w:tc>
              <w:tc>
                <w:tcPr>
                  <w:tcW w:w="4000" w:type="pct"/>
                  <w:vAlign w:val="top"/>
                </w:tcPr>
                <w:p>
                  <w:r>
                    <w:t xml:space="preserve">Newborn—unqualified days only </w:t>
                  </w:r>
                </w:p>
              </w:tc>
            </w:tr>
            <w:tr>
              <w:trPr/>
              <w:tc>
                <w:tcPr>
                  <w:tcW w:w="1000" w:type="pct"/>
                  <w:vAlign w:val="top"/>
                </w:tcPr>
                <w:p>
                  <w:r>
                    <w:t xml:space="preserve">9.0</w:t>
                  </w:r>
                </w:p>
              </w:tc>
              <w:tc>
                <w:tcPr>
                  <w:tcW w:w="4000" w:type="pct"/>
                  <w:vAlign w:val="top"/>
                </w:tcPr>
                <w:p>
                  <w:r>
                    <w:t xml:space="preserve">Organ procurement—posthumous</w:t>
                  </w:r>
                </w:p>
              </w:tc>
            </w:tr>
            <w:tr>
              <w:trPr/>
              <w:tc>
                <w:tcPr>
                  <w:tcW w:w="1000" w:type="pct"/>
                  <w:vAlign w:val="top"/>
                </w:tcPr>
                <w:p>
                  <w:r>
                    <w:t xml:space="preserve">10.0</w:t>
                  </w:r>
                </w:p>
              </w:tc>
              <w:tc>
                <w:tcPr>
                  <w:tcW w:w="4000" w:type="pct"/>
                  <w:vAlign w:val="top"/>
                </w:tcPr>
                <w:p>
                  <w:r>
                    <w:t xml:space="preserve">Hospital boarder</w:t>
                  </w:r>
                </w:p>
              </w:tc>
            </w:tr>
          </w:tbl>
          <w:p>
            <w:r>
              <w:rPr>
                <w:b/>
              </w:rPr>
              <w:t xml:space="preserve"> </w:t>
            </w:r>
          </w:p>
          <w:p>
            <w:r>
              <w:rPr>
                <w:b/>
              </w:rPr>
              <w:t xml:space="preserve"> </w:t>
            </w:r>
          </w:p>
          <w:p>
            <w:r>
              <w:t xml:space="preserve">Presented as a number per 100,000 people.</w:t>
            </w:r>
          </w:p>
          <w:p>
            <w:r>
              <w:t xml:space="preserve">Rates for all Australians are directly age- and sex- standardised, to the 2001 Australian population, using 5-year age groups: 0-4, 5-9, … , 80-84, 85 and over.</w:t>
            </w:r>
          </w:p>
          <w:p>
            <w:r>
              <w:t xml:space="preserve">Indigenous and other Australian rates are directly age and sex standardised, to the 2001 Australian population, using 5-year age groups: 0-4, 5-9, … , 60–64, 65 and over.</w:t>
            </w:r>
          </w:p>
          <w:p>
            <w:r>
              <w:t xml:space="preserve">For more information about age-standardisation in general see </w:t>
            </w:r>
            <w:hyperlink w:history="true" r:id="Rd5f134eb65eb41fa">
              <w:r>
                <w:rPr>
                  <w:rStyle w:val="Hyperlink"/>
                </w:rPr>
                <w:t xml:space="preserve">/content/index.phtml/itemId/327276</w:t>
              </w:r>
            </w:hyperlink>
          </w:p>
          <w:p>
            <w:r>
              <w:t xml:space="preserve"> </w:t>
            </w:r>
          </w:p>
          <w:p>
            <w:r>
              <w:t xml:space="preserve">Analysis by Statistical Area Level 3 (SA3) is based on Statistical Area Level 2 (SA2) of usual residence of the patient. </w:t>
            </w:r>
          </w:p>
          <w:p>
            <w:r>
              <w:t xml:space="preserve">Suppress data (number or rate) if at least one of the following conditions are met: </w:t>
            </w:r>
          </w:p>
          <w:p>
            <w:r>
              <w:t xml:space="preserve">the total denominator is less than 1,000</w:t>
            </w:r>
          </w:p>
          <w:p>
            <w:r>
              <w:t xml:space="preserve">the total numerator is less than 20</w:t>
            </w:r>
          </w:p>
          <w:p>
            <w:r>
              <w:t xml:space="preserve">Age and sex standardised rates are suppressed where the denominator for at least one of the age and sex groups used to calculate the rate is below 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100,000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potentially preventable hospitalisations for cellulitis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9a2415564cc40ba">
              <w:r>
                <w:rPr>
                  <w:rStyle w:val="Hyperlink"/>
                </w:rPr>
                <w:t xml:space="preserve">Person—date of birth, DDMMYYYY</w:t>
              </w:r>
            </w:hyperlink>
          </w:p>
          <w:p>
            <w:r>
              <w:rPr>
                <w:rStyle w:val="row-content"/>
                <w:b/>
              </w:rPr>
              <w:t xml:space="preserve">NMDS / DSS</w:t>
            </w:r>
          </w:p>
          <w:p>
            <w:hyperlink w:history="true" r:id="Rf4952515be8241ae">
              <w:r>
                <w:rPr>
                  <w:rStyle w:val="Hyperlink"/>
                </w:rPr>
                <w:t xml:space="preserve">Admitted patient care NMDS 2014-15</w:t>
              </w:r>
            </w:hyperlink>
          </w:p>
          <w:p>
            <w:r>
              <w:rPr>
                <w:rStyle w:val="row-content"/>
                <w:b/>
                <w:color w:val="000000"/>
              </w:rPr>
              <w:t xml:space="preserve">Data Element / Data Set</w:t>
            </w:r>
          </w:p>
          <w:p>
            <w:hyperlink w:history="true" r:id="Rd8f22aeaa94f4688">
              <w:r>
                <w:rPr>
                  <w:rStyle w:val="Hyperlink"/>
                </w:rPr>
                <w:t xml:space="preserve">Hospital service—care type, code N[N]</w:t>
              </w:r>
            </w:hyperlink>
          </w:p>
          <w:p>
            <w:r>
              <w:rPr>
                <w:rStyle w:val="row-content"/>
                <w:b/>
              </w:rPr>
              <w:t xml:space="preserve">NMDS / DSS</w:t>
            </w:r>
          </w:p>
          <w:p>
            <w:hyperlink w:history="true" r:id="R1a0a353c8f3843e2">
              <w:r>
                <w:rPr>
                  <w:rStyle w:val="Hyperlink"/>
                </w:rPr>
                <w:t xml:space="preserve">Admitted patient care NMDS 2014-15</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535631d4d9ec47a6">
              <w:r>
                <w:rPr>
                  <w:rStyle w:val="Hyperlink"/>
                </w:rPr>
                <w:t xml:space="preserve">Episode of care—principal diagnosis, code (ICD-10-AM 8th edn) ANN{.N[N]}</w:t>
              </w:r>
            </w:hyperlink>
          </w:p>
          <w:p>
            <w:r>
              <w:rPr>
                <w:rStyle w:val="row-content"/>
                <w:b/>
              </w:rPr>
              <w:t xml:space="preserve">Data Source</w:t>
            </w:r>
          </w:p>
          <w:p>
            <w:hyperlink w:history="true" r:id="R81cfd6172a264b7f">
              <w:r>
                <w:rPr>
                  <w:rStyle w:val="Hyperlink"/>
                </w:rPr>
                <w:t xml:space="preserve">National Hospital Morbidity Database (NHMD)</w:t>
              </w:r>
            </w:hyperlink>
          </w:p>
          <w:p>
            <w:r>
              <w:rPr>
                <w:rStyle w:val="row-content"/>
                <w:b/>
              </w:rPr>
              <w:t xml:space="preserve">NMDS / DSS</w:t>
            </w:r>
          </w:p>
          <w:p>
            <w:hyperlink w:history="true" r:id="Rb345dbabb5684c45">
              <w:r>
                <w:rPr>
                  <w:rStyle w:val="Hyperlink"/>
                </w:rPr>
                <w:t xml:space="preserve">Admitted patient care NMDS 2014-15</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 Total population as at 30 June, 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Person—estimated resident population of Australia</w:t>
            </w:r>
          </w:p>
          <w:p>
            <w:r>
              <w:rPr>
                <w:rStyle w:val="row-content"/>
              </w:rPr>
              <w:t xml:space="preserve"> </w:t>
            </w:r>
          </w:p>
          <w:p>
            <w:r>
              <w:rPr>
                <w:rStyle w:val="row-content"/>
                <w:b/>
              </w:rPr>
              <w:t xml:space="preserve">Data Source</w:t>
            </w:r>
          </w:p>
          <w:p>
            <w:hyperlink w:history="true" r:id="R2d13714187fd462f">
              <w:r>
                <w:rPr>
                  <w:rStyle w:val="Hyperlink"/>
                </w:rPr>
                <w:t xml:space="preserve">ABS Indigenous experimental estimates and projections (2001 Census-based)</w:t>
              </w:r>
            </w:hyperlink>
          </w:p>
          <w:p>
            <w:r>
              <w:rPr>
                <w:rStyle w:val="row-content"/>
                <w:b/>
              </w:rPr>
              <w:t xml:space="preserve">Guide for use</w:t>
            </w:r>
          </w:p>
          <w:p>
            <w:r>
              <w:rPr>
                <w:rStyle w:val="row-content"/>
              </w:rPr>
              <w:t xml:space="preserve"> </w:t>
            </w:r>
          </w:p>
          <w:p>
            <w:r>
              <w:rPr>
                <w:rStyle w:val="row-content"/>
              </w:rPr>
              <w:t xml:space="preserve">Data source type: Census-based plus administrative by-product data</w:t>
            </w:r>
          </w:p>
          <w:p>
            <w:r>
              <w:rPr>
                <w:rStyle w:val="row-content"/>
              </w:rPr>
              <w:t xml:space="preserve"> </w:t>
            </w:r>
          </w:p>
          <w:p>
            <w:r>
              <w:rPr>
                <w:rStyle w:val="row-content"/>
                <w:b/>
                <w:color w:val="000000"/>
              </w:rPr>
              <w:t xml:space="preserve">Data Element / Data Set</w:t>
            </w:r>
          </w:p>
          <w:p>
            <w:hyperlink w:history="true" r:id="R542f32fc7a664baf">
              <w:r>
                <w:rPr>
                  <w:rStyle w:val="Hyperlink"/>
                </w:rPr>
                <w:t xml:space="preserve">Person—estimated resident population of Australia, total people N[N(7)]</w:t>
              </w:r>
            </w:hyperlink>
          </w:p>
          <w:p>
            <w:r>
              <w:rPr>
                <w:rStyle w:val="row-content"/>
                <w:b/>
              </w:rPr>
              <w:t xml:space="preserve">Data Source</w:t>
            </w:r>
          </w:p>
          <w:p>
            <w:hyperlink w:history="true" r:id="Reccb3535b4974deb">
              <w:r>
                <w:rPr>
                  <w:rStyle w:val="Hyperlink"/>
                </w:rPr>
                <w:t xml:space="preserve">ABS Estimated resident population (total population)</w:t>
              </w:r>
            </w:hyperlink>
          </w:p>
          <w:p>
            <w:r>
              <w:rPr>
                <w:rStyle w:val="row-content"/>
                <w:b/>
              </w:rPr>
              <w:t xml:space="preserve">Guide for use</w:t>
            </w:r>
          </w:p>
          <w:p>
            <w:r>
              <w:rPr>
                <w:rStyle w:val="row-content"/>
              </w:rPr>
              <w:t xml:space="preserve"> </w:t>
            </w:r>
          </w:p>
          <w:p>
            <w:r>
              <w:rPr>
                <w:rStyle w:val="row-content"/>
              </w:rPr>
              <w:t xml:space="preserve">Data source type: Census based plus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SA3 by:</w:t>
            </w:r>
          </w:p>
          <w:p>
            <w:pPr>
              <w:spacing w:after="160"/>
            </w:pPr>
            <w:r>
              <w:rPr>
                <w:rStyle w:val="row-content-rich-text"/>
              </w:rPr>
              <w:t xml:space="preserve">remoteness (ASGC Remoteness structure) and Socio-Economic Indexes for Areas (SEIFA) Index of Relative Socioeconomic Disadvantage (IRSD)</w:t>
            </w:r>
          </w:p>
          <w:p>
            <w:pPr/>
            <w:r>
              <w:rPr>
                <w:rStyle w:val="row-content-rich-text"/>
              </w:rPr>
              <w:t xml:space="preserve">State and territory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e64596f58394558">
              <w:r>
                <w:rPr>
                  <w:rStyle w:val="Hyperlink"/>
                </w:rPr>
                <w:t xml:space="preserve">Person—area of usual residence, statistical area level 2 (SA2) code (ASGS 2011) N(9)</w:t>
              </w:r>
            </w:hyperlink>
          </w:p>
          <w:p>
            <w:r>
              <w:rPr>
                <w:rStyle w:val="row-content"/>
                <w:b/>
              </w:rPr>
              <w:t xml:space="preserve">Data Source</w:t>
            </w:r>
          </w:p>
          <w:p>
            <w:hyperlink w:history="true" r:id="Rad20dbdc369240e9">
              <w:r>
                <w:rPr>
                  <w:rStyle w:val="Hyperlink"/>
                </w:rPr>
                <w:t xml:space="preserve">National Hospital Morbidity Database (NHMD)</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Integer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412171417aeb40cb">
              <w:r>
                <w:rPr>
                  <w:rStyle w:val="Hyperlink"/>
                </w:rPr>
                <w:t xml:space="preserve">ABS Indigenous experimental estimates and projections (2001 Census-based)</w:t>
              </w:r>
            </w:hyperlink>
          </w:p>
          <w:p>
            <w:r>
              <w:rPr>
                <w:rStyle w:val="row-content"/>
                <w:b/>
              </w:rPr>
              <w:t xml:space="preserve">Frequency</w:t>
            </w:r>
          </w:p>
          <w:p>
            <w:r>
              <w:rPr>
                <w:rStyle w:val="row-content"/>
              </w:rPr>
              <w:t xml:space="preserve">Periodic</w:t>
            </w:r>
          </w:p>
          <w:p>
            <w:r>
              <w:rPr>
                <w:rStyle w:val="row-content"/>
                <w:b/>
              </w:rPr>
              <w:t xml:space="preserve">Data quality statement</w:t>
            </w:r>
          </w:p>
          <w:p>
            <w:hyperlink w:history="true" r:id="Rb18aec48eaf140a4">
              <w:r>
                <w:rPr>
                  <w:rStyle w:val="Hyperlink"/>
                </w:rPr>
                <w:t xml:space="preserve">ABS Indigenous experimental estimates and projections, QS</w:t>
              </w:r>
            </w:hyperlink>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cb465509b9fd490a">
              <w:r>
                <w:rPr>
                  <w:rStyle w:val="Hyperlink"/>
                </w:rPr>
                <w:t xml:space="preserve">National Hospital Morbidity Database (NHMD)</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a9d949a6c5a3495c">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386bb39ecb264645">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Methodology:</w:t>
            </w:r>
          </w:p>
        </w:tc>
        <w:tc>
          <w:tcPr>
            <w:tcBorders>
              <w:top w:val="none" w:color="000000" w:sz="0"/>
              <w:left w:val="none" w:color="000000" w:sz="0"/>
              <w:bottom w:val="none" w:color="000000" w:sz="0"/>
              <w:right w:val="none" w:color="000000" w:sz="0"/>
            </w:tcBorders>
            <w:vAlign w:val="top"/>
          </w:tcPr>
          <w:tbl>
            <w:tblPr>
              <w:tblStyle w:val="TableGrid"/>
              <w:tblW w:w="5000" w:type="pct"/>
              <w:tblBorders>
                <w:top w:val="none"/>
                <w:left w:val="none"/>
                <w:bottom w:val="none"/>
                <w:right w:val="none"/>
                <w:insideH w:val="none"/>
                <w:insideV w:val="none"/>
              </w:tblBorders>
              <w:tblLayout w:type="autofit"/>
            </w:tblPr>
            <w:tblGrid>
              <w:gridCol/>
            </w:tblGrid>
            <w:tr>
              <w:trPr/>
              <w:tc>
                <w:tcPr>
                  <w:tcW w:w="5000" w:type="pct"/>
                  <w:vAlign w:val="top"/>
                </w:tcPr>
                <w:p>
                  <w:pPr/>
                  <w:r>
                    <w:rPr>
                      <w:rStyle w:val="row-content-rich-text"/>
                    </w:rPr>
                    <w:t xml:space="preserve"> </w:t>
                  </w:r>
                </w:p>
              </w:tc>
            </w:tr>
            <w:tr>
              <w:trPr/>
              <w:tc>
                <w:tcPr>
                  <w:tcW w:w="5000" w:type="pct"/>
                  <w:vAlign w:val="top"/>
                </w:tcPr>
                <w:p>
                  <w:r>
                    <w:t xml:space="preserve">Statistical Area Level 3 (SA3s) are geographic areas defined in the ABS Australian Statistical Geography Standard (ASGS). The aim of SA3s is to create a standard framework for the analysis of ABS data at the regional level through clustering groups of SA2s that have similar regional characteristics. There are 333 spatial SA3s covering the whole of Australia without gaps or overlaps. They are designed to provide a regional breakdown of Australia. SA3s generally have a population of between 30,000 and 130,000 people. There are approximately 50 with fewer than 30,000 people and 35 with more than 130,000 as at 30 June 2011. For further information see the ABS publication, Australian Statistical Geography Standard (ASGS): Volume 1 – Main Structure and Greater Capital City Statistical Areas, July 2011 (cat. no. 1270.0.55.001).</w:t>
                  </w:r>
                </w:p>
                <w:p>
                  <w:r>
                    <w:t xml:space="preserve"> </w:t>
                  </w:r>
                </w:p>
                <w:p>
                  <w:r>
                    <w:rPr>
                      <w:color w:val="000000"/>
                    </w:rPr>
                    <w:t xml:space="preserve">The scope of the NHMD is episodes of care for admitted patients in all public and private acute and psychiatric hospitals, free-standing day hospital facilities and alcohol and drug treatment centres in Australia. Hospitals operated by the Australian Defence Force, corrections authorities and in Australia’s off-shore territories are not in scope, but some are included.</w:t>
                  </w:r>
                  <w:r>
                    <w:rPr>
                      <w:color w:val="000000"/>
                    </w:rPr>
                    <w:t xml:space="preserve">  </w:t>
                  </w:r>
                </w:p>
                <w:p>
                  <w:r>
                    <w:t xml:space="preserve">Private hospitals include private free-standing day hospital facilities and other private hospitals (which also include private psychiatric hospitals).</w:t>
                  </w:r>
                </w:p>
                <w:p>
                  <w:r>
                    <w:t xml:space="preserve"> </w:t>
                  </w:r>
                </w:p>
                <w:p>
                  <w:r>
                    <w:rPr>
                      <w:b/>
                    </w:rPr>
                    <w:t xml:space="preserve"> </w:t>
                  </w:r>
                </w:p>
              </w:tc>
            </w:tr>
            <w:tr>
              <w:trPr/>
              <w:tc>
                <w:tcPr>
                  <w:tcW w:w="5000" w:type="pct"/>
                  <w:vAlign w:val="top"/>
                </w:tcPr>
                <w:p>
                  <w:r>
                    <w:rPr>
                      <w:b/>
                    </w:rPr>
                    <w:t xml:space="preserve">                </w:t>
                  </w:r>
                  <w:r>
                    <w:rPr>
                      <w:b/>
                    </w:rPr>
                    <w:t xml:space="preserve">Description of ACHI codes specified in the computation description (for reference only)</w:t>
                  </w:r>
                </w:p>
                <w:tbl>
                  <w:tblPr>
                    <w:tblStyle w:val="InnerTable"/>
                    <w:tblW w:w="5000" w:type="pct"/>
                    <w:tblLayout w:type="autofit"/>
                  </w:tblPr>
                  <w:tblGrid>
                    <w:gridCol/>
                    <w:gridCol/>
                    <w:gridCol/>
                  </w:tblGrid>
                  <w:tr>
                    <w:trPr/>
                    <w:tc>
                      <w:tcPr>
                        <w:tcW w:w="1700" w:type="pct"/>
                        <w:vAlign w:val="top"/>
                      </w:tcPr>
                      <w:p>
                        <w:r>
                          <w:rPr>
                            <w:b/>
                          </w:rPr>
                          <w:t xml:space="preserve">ACHI 8th editionblock</w:t>
                        </w:r>
                      </w:p>
                    </w:tc>
                    <w:tc>
                      <w:tcPr>
                        <w:tcW w:w="750" w:type="pct"/>
                        <w:vAlign w:val="top"/>
                      </w:tcPr>
                      <w:p>
                        <w:r>
                          <w:rPr>
                            <w:b/>
                          </w:rPr>
                          <w:t xml:space="preserve">Description</w:t>
                        </w:r>
                      </w:p>
                    </w:tc>
                    <w:tc>
                      <w:tcPr>
                        <w:tcW w:w="2500" w:type="pct"/>
                        <w:vAlign w:val="top"/>
                      </w:tcPr>
                      <w:p>
                        <w:r>
                          <w:rPr>
                            <w:b/>
                          </w:rPr>
                          <w:t xml:space="preserve">Additional requirements</w:t>
                        </w:r>
                      </w:p>
                    </w:tc>
                  </w:tr>
                  <w:tr>
                    <w:trPr/>
                    <w:tc>
                      <w:tcPr>
                        <w:tcW w:w="1700" w:type="pct"/>
                        <w:vAlign w:val="top"/>
                      </w:tcPr>
                      <w:p>
                        <w:r>
                          <w:t xml:space="preserve">[1820] - [1922]</w:t>
                        </w:r>
                      </w:p>
                    </w:tc>
                    <w:tc>
                      <w:tcPr>
                        <w:tcW w:w="750" w:type="pct"/>
                        <w:vAlign w:val="top"/>
                      </w:tcPr>
                      <w:p>
                        <w:r>
                          <w:t xml:space="preserve">Noninvasive, cognitive and other interventions, not elsewhere classified </w:t>
                        </w:r>
                      </w:p>
                    </w:tc>
                    <w:tc>
                      <w:tcPr>
                        <w:tcW w:w="2500" w:type="pct"/>
                        <w:vMerge w:val="restart"/>
                        <w:vAlign w:val="top"/>
                      </w:tcPr>
                      <w:p>
                        <w:r>
                          <w:t xml:space="preserve">Only listed procedures</w:t>
                        </w:r>
                      </w:p>
                    </w:tc>
                  </w:tr>
                  <w:tr>
                    <w:trPr/>
                    <w:tc>
                      <w:tcPr>
                        <w:tcW w:w="1700" w:type="pct"/>
                        <w:vAlign w:val="top"/>
                      </w:tcPr>
                      <w:p>
                        <w:r>
                          <w:t xml:space="preserve">[1940] - [2016]</w:t>
                        </w:r>
                      </w:p>
                    </w:tc>
                    <w:tc>
                      <w:tcPr>
                        <w:tcW w:w="750" w:type="pct"/>
                        <w:vMerge/>
                      </w:tcPr>
                      <w:p/>
                    </w:tc>
                    <w:tc>
                      <w:tcPr>
                        <w:tcW w:w="2500" w:type="pct"/>
                        <w:vAlign w:val="top"/>
                      </w:tcPr>
                      <w:p>
                        <w:r>
                          <w:t xml:space="preserve">Imaging services</w:t>
                        </w:r>
                      </w:p>
                    </w:tc>
                  </w:tr>
                  <w:tr>
                    <w:trPr/>
                    <w:tc>
                      <w:tcPr>
                        <w:tcW w:w="1700" w:type="pct"/>
                        <w:vAlign w:val="top"/>
                      </w:tcPr>
                      <w:p>
                        <w:r>
                          <w:rPr>
                            <w:b/>
                          </w:rPr>
                          <w:t xml:space="preserve">ACHI 8th edition code </w:t>
                        </w:r>
                      </w:p>
                    </w:tc>
                    <w:tc>
                      <w:tcPr>
                        <w:tcW w:w="750" w:type="pct"/>
                        <w:vMerge/>
                      </w:tcPr>
                      <w:p/>
                    </w:tc>
                    <w:tc>
                      <w:tcPr>
                        <w:tcW w:w="2500" w:type="pct"/>
                        <w:vAlign w:val="top"/>
                      </w:tcPr>
                      <w:p>
                        <w:r>
                          <w:t xml:space="preserve"> </w:t>
                        </w:r>
                      </w:p>
                    </w:tc>
                  </w:tr>
                  <w:tr>
                    <w:trPr/>
                    <w:tc>
                      <w:tcPr>
                        <w:tcW w:w="1700" w:type="pct"/>
                        <w:vAlign w:val="top"/>
                      </w:tcPr>
                      <w:p>
                        <w:r>
                          <w:t xml:space="preserve">30216-00 [1604]</w:t>
                        </w:r>
                      </w:p>
                    </w:tc>
                    <w:tc>
                      <w:tcPr>
                        <w:tcW w:w="750" w:type="pct"/>
                        <w:vMerge/>
                      </w:tcPr>
                      <w:p/>
                    </w:tc>
                    <w:tc>
                      <w:tcPr>
                        <w:tcW w:w="2500" w:type="pct"/>
                        <w:vAlign w:val="top"/>
                      </w:tcPr>
                      <w:p>
                        <w:r>
                          <w:t xml:space="preserve">Aspiration of haematoma of skin and subcutaneous tissue</w:t>
                        </w:r>
                      </w:p>
                    </w:tc>
                  </w:tr>
                  <w:tr>
                    <w:trPr/>
                    <w:tc>
                      <w:tcPr>
                        <w:tcW w:w="1700" w:type="pct"/>
                        <w:vAlign w:val="top"/>
                      </w:tcPr>
                      <w:p>
                        <w:r>
                          <w:t xml:space="preserve">30216-01 [1604]</w:t>
                        </w:r>
                      </w:p>
                    </w:tc>
                    <w:tc>
                      <w:tcPr>
                        <w:tcW w:w="750" w:type="pct"/>
                        <w:vMerge/>
                      </w:tcPr>
                      <w:p/>
                    </w:tc>
                    <w:tc>
                      <w:tcPr>
                        <w:tcW w:w="2500" w:type="pct"/>
                        <w:vAlign w:val="top"/>
                      </w:tcPr>
                      <w:p>
                        <w:r>
                          <w:t xml:space="preserve">Aspiration of abscess of skin and subcutaneous tissue</w:t>
                        </w:r>
                      </w:p>
                    </w:tc>
                  </w:tr>
                  <w:tr>
                    <w:trPr/>
                    <w:tc>
                      <w:tcPr>
                        <w:tcW w:w="1700" w:type="pct"/>
                        <w:vAlign w:val="top"/>
                      </w:tcPr>
                      <w:p>
                        <w:r>
                          <w:t xml:space="preserve">30216-02 [1604]</w:t>
                        </w:r>
                      </w:p>
                    </w:tc>
                    <w:tc>
                      <w:tcPr>
                        <w:tcW w:w="750" w:type="pct"/>
                        <w:vMerge/>
                      </w:tcPr>
                      <w:p/>
                    </w:tc>
                    <w:tc>
                      <w:tcPr>
                        <w:tcW w:w="2500" w:type="pct"/>
                        <w:vAlign w:val="top"/>
                      </w:tcPr>
                      <w:p>
                        <w:r>
                          <w:t xml:space="preserve">Other aspiration of skin and subcutaneous tissue</w:t>
                        </w:r>
                      </w:p>
                    </w:tc>
                  </w:tr>
                  <w:tr>
                    <w:trPr/>
                    <w:tc>
                      <w:tcPr>
                        <w:tcW w:w="1700" w:type="pct"/>
                        <w:vAlign w:val="top"/>
                      </w:tcPr>
                      <w:p>
                        <w:r>
                          <w:t xml:space="preserve">30676-00 [1659]</w:t>
                        </w:r>
                      </w:p>
                    </w:tc>
                    <w:tc>
                      <w:tcPr>
                        <w:tcW w:w="750" w:type="pct"/>
                        <w:vMerge/>
                      </w:tcPr>
                      <w:p/>
                    </w:tc>
                    <w:tc>
                      <w:tcPr>
                        <w:tcW w:w="2500" w:type="pct"/>
                        <w:vAlign w:val="top"/>
                      </w:tcPr>
                      <w:p>
                        <w:r>
                          <w:t xml:space="preserve">Incision of pilonidal sinus or cyst</w:t>
                        </w:r>
                      </w:p>
                    </w:tc>
                  </w:tr>
                  <w:tr>
                    <w:trPr/>
                    <w:tc>
                      <w:tcPr>
                        <w:tcW w:w="1700" w:type="pct"/>
                        <w:vAlign w:val="top"/>
                      </w:tcPr>
                      <w:p>
                        <w:r>
                          <w:t xml:space="preserve">30223-01 [1606]</w:t>
                        </w:r>
                      </w:p>
                    </w:tc>
                    <w:tc>
                      <w:tcPr>
                        <w:tcW w:w="750" w:type="pct"/>
                        <w:vMerge/>
                      </w:tcPr>
                      <w:p/>
                    </w:tc>
                    <w:tc>
                      <w:tcPr>
                        <w:tcW w:w="2500" w:type="pct"/>
                        <w:vAlign w:val="top"/>
                      </w:tcPr>
                      <w:p>
                        <w:r>
                          <w:t xml:space="preserve">Incision and drainage of abscess of skin and subcutaneous tissue</w:t>
                        </w:r>
                      </w:p>
                    </w:tc>
                  </w:tr>
                  <w:tr>
                    <w:trPr/>
                    <w:tc>
                      <w:tcPr>
                        <w:tcW w:w="1700" w:type="pct"/>
                        <w:vAlign w:val="top"/>
                      </w:tcPr>
                      <w:p>
                        <w:r>
                          <w:t xml:space="preserve">30223-02 [1606]</w:t>
                        </w:r>
                      </w:p>
                    </w:tc>
                    <w:tc>
                      <w:tcPr>
                        <w:tcW w:w="750" w:type="pct"/>
                        <w:vMerge/>
                      </w:tcPr>
                      <w:p/>
                    </w:tc>
                    <w:tc>
                      <w:tcPr>
                        <w:tcW w:w="2500" w:type="pct"/>
                        <w:vAlign w:val="top"/>
                      </w:tcPr>
                      <w:p>
                        <w:r>
                          <w:t xml:space="preserve">Other incision and drainage of skin and subcutaneous tissue</w:t>
                        </w:r>
                      </w:p>
                    </w:tc>
                  </w:tr>
                  <w:tr>
                    <w:trPr/>
                    <w:tc>
                      <w:tcPr>
                        <w:tcW w:w="1700" w:type="pct"/>
                        <w:vAlign w:val="top"/>
                      </w:tcPr>
                      <w:p>
                        <w:r>
                          <w:t xml:space="preserve">30064-00 [1605]</w:t>
                        </w:r>
                      </w:p>
                    </w:tc>
                    <w:tc>
                      <w:tcPr>
                        <w:tcW w:w="750" w:type="pct"/>
                        <w:vMerge/>
                      </w:tcPr>
                      <w:p/>
                    </w:tc>
                    <w:tc>
                      <w:tcPr>
                        <w:tcW w:w="2500" w:type="pct"/>
                        <w:vAlign w:val="top"/>
                      </w:tcPr>
                      <w:p>
                        <w:r>
                          <w:t xml:space="preserve">Removal of foreign body from skin and subcutaneous tissue with incision</w:t>
                        </w:r>
                      </w:p>
                    </w:tc>
                  </w:tr>
                  <w:tr>
                    <w:trPr/>
                    <w:tc>
                      <w:tcPr>
                        <w:tcW w:w="1700" w:type="pct"/>
                        <w:vAlign w:val="top"/>
                      </w:tcPr>
                      <w:p>
                        <w:r>
                          <w:t xml:space="preserve">90660-00 [1602]</w:t>
                        </w:r>
                      </w:p>
                    </w:tc>
                    <w:tc>
                      <w:tcPr>
                        <w:tcW w:w="750" w:type="pct"/>
                        <w:vMerge/>
                      </w:tcPr>
                      <w:p/>
                    </w:tc>
                    <w:tc>
                      <w:tcPr>
                        <w:tcW w:w="2500" w:type="pct"/>
                        <w:vAlign w:val="top"/>
                      </w:tcPr>
                      <w:p>
                        <w:r>
                          <w:t xml:space="preserve">Administration of agent into skin and subcutaneous tissue</w:t>
                        </w:r>
                      </w:p>
                    </w:tc>
                  </w:tr>
                  <w:tr>
                    <w:trPr/>
                    <w:tc>
                      <w:tcPr>
                        <w:tcW w:w="1700" w:type="pct"/>
                        <w:vAlign w:val="top"/>
                      </w:tcPr>
                      <w:p>
                        <w:r>
                          <w:t xml:space="preserve">90661-00 [1608]</w:t>
                        </w:r>
                      </w:p>
                    </w:tc>
                    <w:tc>
                      <w:tcPr>
                        <w:tcW w:w="750" w:type="pct"/>
                        <w:vMerge/>
                      </w:tcPr>
                      <w:p/>
                    </w:tc>
                    <w:tc>
                      <w:tcPr>
                        <w:tcW w:w="2500" w:type="pct"/>
                        <w:vAlign w:val="top"/>
                      </w:tcPr>
                      <w:p>
                        <w:r>
                          <w:t xml:space="preserve">Other incision of skin and subcutaneous tissue</w:t>
                        </w:r>
                      </w:p>
                    </w:tc>
                  </w:tr>
                </w:tbl>
                <w:p>
                  <w:r>
                    <w:rPr>
                      <w:b/>
                    </w:rPr>
                    <w:t xml:space="preserve"> </w:t>
                  </w:r>
                </w:p>
                <w:p>
                  <w:r>
                    <w:t xml:space="preserve"> </w:t>
                  </w:r>
                </w:p>
              </w:tc>
            </w:tr>
          </w:tbl>
          <w:p>
            <w:r>
              <w:t xml:space="preserve"> </w:t>
            </w:r>
          </w:p>
          <w:p>
            <w:r>
              <w:br/>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Commission on Safety and Quality in Health Care</w:t>
            </w:r>
          </w:p>
          <w:p>
            <w:pPr/>
            <w:r>
              <w:rPr>
                <w:rStyle w:val="row-content-rich-text"/>
                <w:i/>
              </w:rPr>
              <w:t xml:space="preserve">Australian Atlas of Healthcare Variation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Commission on Safety and Quality in Health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Release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07/06/2017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more information about potentially preventable hospitalisations see: </w:t>
            </w:r>
          </w:p>
          <w:p>
            <w:pPr>
              <w:spacing w:after="160"/>
            </w:pPr>
            <w:r>
              <w:rPr>
                <w:rStyle w:val="row-content-rich-text"/>
                <w:u w:val="single"/>
              </w:rPr>
              <w:t xml:space="preserve">National Healthcare Agreement: PI 18–Selected potentially preventable hospitalisations, 2017</w:t>
            </w:r>
          </w:p>
          <w:p>
            <w:hyperlink w:history="true" r:id="R01b2d809655b49b3">
              <w:r>
                <w:rPr>
                  <w:rStyle w:val="Hyperlink"/>
                </w:rPr>
                <w:t xml:space="preserve">/content/index.phtml/itemId/630028</w:t>
              </w:r>
            </w:hyperlink>
          </w:p>
          <w:p>
            <w:hyperlink w:history="true" r:id="R6b9bfe8328b24726">
              <w:r>
                <w:rPr>
                  <w:rStyle w:val="Hyperlink"/>
                </w:rPr>
                <w:t xml:space="preserve">Australian Commission on Safety and Quality in Health Care and Australian Institute of Health and Welfare. Exploring Healthcare Variation in Australia: Analyses Resulting from an OECD Study. Sydney: ACSQHC, 2014.</w:t>
              </w:r>
            </w:hyperlink>
          </w:p>
          <w:p>
            <w:hyperlink w:history="true" r:id="R4a34156167794fed">
              <w:r>
                <w:rPr>
                  <w:rStyle w:val="Hyperlink"/>
                </w:rPr>
                <w:t xml:space="preserve">National Health Performance Authority 2015, Healthy Communities: Potentially preventable hospitalisations in 2013–14, Technical Supplement.</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fc3ff88879ee4027">
              <w:r>
                <w:rPr>
                  <w:rStyle w:val="Hyperlink"/>
                </w:rPr>
                <w:t xml:space="preserve">Number of potentially preventable hospitalisations - cellulitis per 100,000 people of all ages, 2014-15 to 2017-18</w:t>
              </w:r>
            </w:hyperlink>
          </w:p>
          <w:p>
            <w:pPr>
              <w:spacing w:before="0" w:after="0"/>
            </w:pPr>
            <w:r>
              <w:rPr>
                <w:rStyle w:val="row-content"/>
                <w:color w:val="244061"/>
              </w:rPr>
              <w:t xml:space="preserve">       </w:t>
            </w:r>
            <w:hyperlink w:history="true" r:id="R2b00ea7f188e47ea">
              <w:r>
                <w:rPr>
                  <w:rStyle w:val="Hyperlink"/>
                  <w:color w:val="244061"/>
                </w:rPr>
                <w:t xml:space="preserve">Australian Commission on Safety and Quality in Health Care</w:t>
              </w:r>
            </w:hyperlink>
            <w:r>
              <w:rPr>
                <w:rStyle w:val="row-content"/>
                <w:color w:val="244061"/>
              </w:rPr>
              <w:t xml:space="preserve">, Standard 27/04/2021</w:t>
            </w:r>
          </w:p>
          <w:p>
            <w:r>
              <w:br/>
            </w:r>
          </w:p>
        </w:tc>
      </w:tr>
    </w:tbl>
    <w:p>
      <w:r>
        <w:br/>
      </w:r>
    </w:p>
    <w:sectPr>
      <w:footerReference xmlns:r="http://schemas.openxmlformats.org/officeDocument/2006/relationships" w:type="default" r:id="Rd3b262943cfa492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638588</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40220ff2fe34cd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3b262943cfa492c" /><Relationship Type="http://schemas.openxmlformats.org/officeDocument/2006/relationships/header" Target="/word/header1.xml" Id="R122fda25808b4215" /><Relationship Type="http://schemas.openxmlformats.org/officeDocument/2006/relationships/settings" Target="/word/settings.xml" Id="R78ac146090f546f3" /><Relationship Type="http://schemas.openxmlformats.org/officeDocument/2006/relationships/styles" Target="/word/styles.xml" Id="Re8fa87bee5e943c1" /><Relationship Type="http://schemas.openxmlformats.org/officeDocument/2006/relationships/hyperlink" Target="https://meteor.aihw.gov.au/RegistrationAuthority/18" TargetMode="External" Id="Ra9cc288d36c040b3" /><Relationship Type="http://schemas.openxmlformats.org/officeDocument/2006/relationships/hyperlink" Target="https://meteor.aihw.gov.au/content/674758" TargetMode="External" Id="R88fd229a40734cf2" /><Relationship Type="http://schemas.openxmlformats.org/officeDocument/2006/relationships/hyperlink" Target="https://meteor.aihw.gov.au/RegistrationAuthority/18" TargetMode="External" Id="R3001de617c544ad8" /><Relationship Type="http://schemas.openxmlformats.org/officeDocument/2006/relationships/hyperlink" Target="https://meteor.aihw.gov.au/content/327276" TargetMode="External" Id="Rd5f134eb65eb41fa" /><Relationship Type="http://schemas.openxmlformats.org/officeDocument/2006/relationships/numbering" Target="/word/numbering.xml" Id="R1053d844b888401d" /><Relationship Type="http://schemas.openxmlformats.org/officeDocument/2006/relationships/hyperlink" Target="https://meteor.aihw.gov.au/content/287007" TargetMode="External" Id="Ra9a2415564cc40ba" /><Relationship Type="http://schemas.openxmlformats.org/officeDocument/2006/relationships/hyperlink" Target="https://meteor.aihw.gov.au/content/535047" TargetMode="External" Id="Rf4952515be8241ae" /><Relationship Type="http://schemas.openxmlformats.org/officeDocument/2006/relationships/hyperlink" Target="https://meteor.aihw.gov.au/content/491557" TargetMode="External" Id="Rd8f22aeaa94f4688" /><Relationship Type="http://schemas.openxmlformats.org/officeDocument/2006/relationships/hyperlink" Target="https://meteor.aihw.gov.au/content/535047" TargetMode="External" Id="R1a0a353c8f3843e2" /><Relationship Type="http://schemas.openxmlformats.org/officeDocument/2006/relationships/hyperlink" Target="https://meteor.aihw.gov.au/content/514273" TargetMode="External" Id="R535631d4d9ec47a6" /><Relationship Type="http://schemas.openxmlformats.org/officeDocument/2006/relationships/hyperlink" Target="https://meteor.aihw.gov.au/content/394352" TargetMode="External" Id="R81cfd6172a264b7f" /><Relationship Type="http://schemas.openxmlformats.org/officeDocument/2006/relationships/hyperlink" Target="https://meteor.aihw.gov.au/content/535047" TargetMode="External" Id="Rb345dbabb5684c45" /><Relationship Type="http://schemas.openxmlformats.org/officeDocument/2006/relationships/hyperlink" Target="https://meteor.aihw.gov.au/content/394092" TargetMode="External" Id="R2d13714187fd462f" /><Relationship Type="http://schemas.openxmlformats.org/officeDocument/2006/relationships/hyperlink" Target="https://meteor.aihw.gov.au/content/388656" TargetMode="External" Id="R542f32fc7a664baf" /><Relationship Type="http://schemas.openxmlformats.org/officeDocument/2006/relationships/hyperlink" Target="https://meteor.aihw.gov.au/content/393625" TargetMode="External" Id="Reccb3535b4974deb" /><Relationship Type="http://schemas.openxmlformats.org/officeDocument/2006/relationships/hyperlink" Target="https://meteor.aihw.gov.au/content/469909" TargetMode="External" Id="R4e64596f58394558" /><Relationship Type="http://schemas.openxmlformats.org/officeDocument/2006/relationships/hyperlink" Target="https://meteor.aihw.gov.au/content/394352" TargetMode="External" Id="Rad20dbdc369240e9" /><Relationship Type="http://schemas.openxmlformats.org/officeDocument/2006/relationships/hyperlink" Target="https://meteor.aihw.gov.au/content/394092" TargetMode="External" Id="R412171417aeb40cb" /><Relationship Type="http://schemas.openxmlformats.org/officeDocument/2006/relationships/hyperlink" Target="https://meteor.aihw.gov.au/content/449223" TargetMode="External" Id="Rb18aec48eaf140a4" /><Relationship Type="http://schemas.openxmlformats.org/officeDocument/2006/relationships/hyperlink" Target="https://meteor.aihw.gov.au/content/394352" TargetMode="External" Id="Rcb465509b9fd490a" /><Relationship Type="http://schemas.openxmlformats.org/officeDocument/2006/relationships/hyperlink" Target="https://meteor.aihw.gov.au/content/393625" TargetMode="External" Id="Ra9d949a6c5a3495c" /><Relationship Type="http://schemas.openxmlformats.org/officeDocument/2006/relationships/hyperlink" Target="https://meteor.aihw.gov.au/content/449216" TargetMode="External" Id="R386bb39ecb264645" /><Relationship Type="http://schemas.openxmlformats.org/officeDocument/2006/relationships/hyperlink" Target="https://meteor.aihw.gov.au/content/630028" TargetMode="External" Id="R01b2d809655b49b3" /><Relationship Type="http://schemas.openxmlformats.org/officeDocument/2006/relationships/hyperlink" Target="http://www.safetyandquality.gov.au/wp-content/uploads/2014/05/Exploring-Healthcare-Variation-in-Australia-Analyses-Resulting-from-an-OECD-Study.pdf" TargetMode="External" Id="R6b9bfe8328b24726" /><Relationship Type="http://schemas.openxmlformats.org/officeDocument/2006/relationships/hyperlink" Target="http://www.myhealthycommunities.gov.au/our-reports/potentially-preventable-hospitalisations/december-2015/technical-supplement" TargetMode="External" Id="R4a34156167794fed" /><Relationship Type="http://schemas.openxmlformats.org/officeDocument/2006/relationships/hyperlink" Target="https://meteor.aihw.gov.au/content/724500" TargetMode="External" Id="Rfc3ff88879ee4027" /><Relationship Type="http://schemas.openxmlformats.org/officeDocument/2006/relationships/hyperlink" Target="https://meteor.aihw.gov.au/RegistrationAuthority/18" TargetMode="External" Id="R2b00ea7f188e47ea" /></Relationships>
</file>

<file path=word/_rels/header1.xml.rels>&#65279;<?xml version="1.0" encoding="utf-8"?><Relationships xmlns="http://schemas.openxmlformats.org/package/2006/relationships"><Relationship Type="http://schemas.openxmlformats.org/officeDocument/2006/relationships/image" Target="/media/image.png" Id="Ra40220ff2fe34cd7" /></Relationships>
</file>